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A4680" w14:textId="77777777" w:rsidR="003A4891" w:rsidRDefault="003A4891" w:rsidP="00850F72">
      <w:pPr>
        <w:pStyle w:val="Documenttitle"/>
        <w:jc w:val="center"/>
        <w:rPr>
          <w:rStyle w:val="paragraph1"/>
          <w:rFonts w:asciiTheme="minorHAnsi" w:hAnsiTheme="minorHAnsi"/>
          <w:sz w:val="18"/>
          <w:szCs w:val="20"/>
        </w:rPr>
      </w:pPr>
      <w:r w:rsidRPr="00D84D03">
        <w:rPr>
          <w:rStyle w:val="paragraph1"/>
          <w:rFonts w:asciiTheme="minorHAnsi" w:hAnsiTheme="minorHAnsi"/>
          <w:sz w:val="18"/>
          <w:szCs w:val="20"/>
          <w:specVanish w:val="0"/>
        </w:rPr>
        <w:t>INDEPENDENT AUDITOR’S REPORT</w:t>
      </w:r>
    </w:p>
    <w:p w14:paraId="7BE0194C" w14:textId="77777777" w:rsidR="00BC798B" w:rsidRPr="00BC798B" w:rsidRDefault="00BC798B" w:rsidP="00BC798B">
      <w:pPr>
        <w:pStyle w:val="Documentsubtitle"/>
        <w:rPr>
          <w:lang w:val="en-GB"/>
        </w:rPr>
      </w:pPr>
    </w:p>
    <w:p w14:paraId="5E8F97E8" w14:textId="77777777" w:rsidR="003A4891" w:rsidRPr="00EA60BB" w:rsidRDefault="003A4891" w:rsidP="003A4891">
      <w:pPr>
        <w:rPr>
          <w:lang w:val="en-GB"/>
        </w:rPr>
      </w:pPr>
    </w:p>
    <w:p w14:paraId="45C37F57" w14:textId="77777777" w:rsidR="007B0831" w:rsidRPr="00EA60BB" w:rsidRDefault="003A4891" w:rsidP="003A4891">
      <w:pPr>
        <w:rPr>
          <w:iCs/>
          <w:lang w:val="en-GB"/>
        </w:rPr>
      </w:pPr>
      <w:r w:rsidRPr="00EA60BB">
        <w:rPr>
          <w:lang w:val="en-GB"/>
        </w:rPr>
        <w:t xml:space="preserve">International </w:t>
      </w:r>
      <w:r w:rsidR="007B0831" w:rsidRPr="00EA60BB">
        <w:rPr>
          <w:iCs/>
          <w:lang w:val="en-GB"/>
        </w:rPr>
        <w:t>Visegrad Fund</w:t>
      </w:r>
    </w:p>
    <w:p w14:paraId="77F90132" w14:textId="77777777" w:rsidR="007B0831" w:rsidRPr="00EA60BB" w:rsidRDefault="007B0831" w:rsidP="003A4891">
      <w:pPr>
        <w:rPr>
          <w:lang w:val="en-GB"/>
        </w:rPr>
      </w:pPr>
      <w:proofErr w:type="spellStart"/>
      <w:r w:rsidRPr="00EA60BB">
        <w:rPr>
          <w:lang w:val="en-GB"/>
        </w:rPr>
        <w:t>Hviezdoslavovo</w:t>
      </w:r>
      <w:proofErr w:type="spellEnd"/>
      <w:r w:rsidRPr="00EA60BB">
        <w:rPr>
          <w:lang w:val="en-GB"/>
        </w:rPr>
        <w:t xml:space="preserve"> </w:t>
      </w:r>
      <w:proofErr w:type="spellStart"/>
      <w:r w:rsidRPr="00EA60BB">
        <w:rPr>
          <w:lang w:val="en-GB"/>
        </w:rPr>
        <w:t>námestie</w:t>
      </w:r>
      <w:proofErr w:type="spellEnd"/>
      <w:r w:rsidRPr="00EA60BB">
        <w:rPr>
          <w:lang w:val="en-GB"/>
        </w:rPr>
        <w:t xml:space="preserve"> 9</w:t>
      </w:r>
    </w:p>
    <w:p w14:paraId="26AFDE24" w14:textId="77777777" w:rsidR="007B0831" w:rsidRPr="00EA60BB" w:rsidRDefault="007B0831" w:rsidP="003A4891">
      <w:pPr>
        <w:rPr>
          <w:lang w:val="en-GB"/>
        </w:rPr>
      </w:pPr>
      <w:r w:rsidRPr="00EA60BB">
        <w:rPr>
          <w:lang w:val="en-GB"/>
        </w:rPr>
        <w:t>81102 Bratislava</w:t>
      </w:r>
    </w:p>
    <w:p w14:paraId="43E9D209" w14:textId="77777777" w:rsidR="003A4891" w:rsidRPr="00EA60BB" w:rsidRDefault="003A4891" w:rsidP="003A4891">
      <w:pPr>
        <w:rPr>
          <w:lang w:val="en-GB"/>
        </w:rPr>
      </w:pPr>
      <w:r w:rsidRPr="00EA60BB">
        <w:rPr>
          <w:lang w:val="en-GB"/>
        </w:rPr>
        <w:t>Slovakia</w:t>
      </w:r>
    </w:p>
    <w:p w14:paraId="7C2B7DA1" w14:textId="77777777" w:rsidR="003A4891" w:rsidRPr="00EA60BB" w:rsidRDefault="003A4891" w:rsidP="003A4891">
      <w:pPr>
        <w:rPr>
          <w:lang w:val="en-GB"/>
        </w:rPr>
      </w:pPr>
    </w:p>
    <w:p w14:paraId="2B7F8BF1" w14:textId="77777777" w:rsidR="007B0831" w:rsidRPr="00EA60BB" w:rsidRDefault="007B0831" w:rsidP="003A4891">
      <w:pPr>
        <w:rPr>
          <w:lang w:val="en-GB"/>
        </w:rPr>
      </w:pPr>
    </w:p>
    <w:p w14:paraId="5728592B" w14:textId="5CE26F3B" w:rsidR="003A4891" w:rsidRPr="00EA60BB" w:rsidRDefault="003A4891" w:rsidP="003A4891">
      <w:pPr>
        <w:rPr>
          <w:b/>
          <w:lang w:val="en-GB"/>
        </w:rPr>
      </w:pPr>
      <w:r w:rsidRPr="00EA60BB">
        <w:rPr>
          <w:b/>
          <w:lang w:val="en-GB"/>
        </w:rPr>
        <w:t>Opinion</w:t>
      </w:r>
    </w:p>
    <w:p w14:paraId="41F19E70" w14:textId="25853F29" w:rsidR="003A4891" w:rsidRPr="00EA60BB" w:rsidRDefault="003A4891" w:rsidP="003A4891">
      <w:pPr>
        <w:rPr>
          <w:lang w:val="en-GB"/>
        </w:rPr>
      </w:pPr>
      <w:r w:rsidRPr="00EA60BB">
        <w:rPr>
          <w:lang w:val="en-GB"/>
        </w:rPr>
        <w:t xml:space="preserve">We have audited the attached financial statement of </w:t>
      </w:r>
      <w:r w:rsidR="006410F1">
        <w:rPr>
          <w:lang w:val="en-GB"/>
        </w:rPr>
        <w:t xml:space="preserve">the </w:t>
      </w:r>
      <w:r w:rsidRPr="00EA60BB">
        <w:rPr>
          <w:bCs/>
          <w:color w:val="000000"/>
          <w:lang w:val="en-GB"/>
        </w:rPr>
        <w:t xml:space="preserve">International </w:t>
      </w:r>
      <w:r w:rsidRPr="00EA60BB">
        <w:rPr>
          <w:iCs/>
          <w:color w:val="000000"/>
          <w:lang w:val="en-GB"/>
        </w:rPr>
        <w:t>Visegrad Fund</w:t>
      </w:r>
      <w:r w:rsidRPr="00EA60BB">
        <w:rPr>
          <w:lang w:val="en-GB"/>
        </w:rPr>
        <w:t xml:space="preserve"> (IVF) Grant Project </w:t>
      </w:r>
      <w:r w:rsidR="004D5F00" w:rsidRPr="004D5F00">
        <w:rPr>
          <w:i/>
          <w:highlight w:val="yellow"/>
          <w:lang w:val="en-GB"/>
        </w:rPr>
        <w:t xml:space="preserve">(state </w:t>
      </w:r>
      <w:r w:rsidR="004D5F00" w:rsidRPr="00E87D29">
        <w:rPr>
          <w:i/>
          <w:highlight w:val="yellow"/>
          <w:lang w:val="en-GB"/>
        </w:rPr>
        <w:t>project number</w:t>
      </w:r>
      <w:r w:rsidR="004D5F00">
        <w:rPr>
          <w:i/>
          <w:highlight w:val="yellow"/>
          <w:lang w:val="en-GB"/>
        </w:rPr>
        <w:t xml:space="preserve"> and name</w:t>
      </w:r>
      <w:r w:rsidR="004D5F00" w:rsidRPr="00E87D29">
        <w:rPr>
          <w:i/>
          <w:highlight w:val="yellow"/>
          <w:lang w:val="en-GB"/>
        </w:rPr>
        <w:t>)</w:t>
      </w:r>
      <w:r w:rsidRPr="00EA60BB">
        <w:rPr>
          <w:highlight w:val="yellow"/>
          <w:lang w:val="en-GB"/>
        </w:rPr>
        <w:t xml:space="preserve"> (Project</w:t>
      </w:r>
      <w:r w:rsidRPr="00EA60BB">
        <w:rPr>
          <w:lang w:val="en-GB"/>
        </w:rPr>
        <w:t xml:space="preserve">) prepared by </w:t>
      </w:r>
      <w:r w:rsidR="006410F1">
        <w:rPr>
          <w:lang w:val="en-GB"/>
        </w:rPr>
        <w:t xml:space="preserve">the </w:t>
      </w:r>
      <w:r w:rsidRPr="00EA60BB">
        <w:rPr>
          <w:lang w:val="en-GB"/>
        </w:rPr>
        <w:t xml:space="preserve">beneficiary </w:t>
      </w:r>
      <w:r w:rsidRPr="005754AF">
        <w:rPr>
          <w:highlight w:val="yellow"/>
          <w:lang w:val="en-GB"/>
        </w:rPr>
        <w:t>ABC</w:t>
      </w:r>
      <w:r w:rsidRPr="00EA60BB">
        <w:rPr>
          <w:lang w:val="en-GB"/>
        </w:rPr>
        <w:t xml:space="preserve"> (the Beneficiary), which comprise the </w:t>
      </w:r>
      <w:r w:rsidR="00475F75" w:rsidRPr="00EA60BB">
        <w:rPr>
          <w:lang w:val="en-GB"/>
        </w:rPr>
        <w:t>P</w:t>
      </w:r>
      <w:r w:rsidRPr="00EA60BB">
        <w:rPr>
          <w:lang w:val="en-GB"/>
        </w:rPr>
        <w:t xml:space="preserve">roject expenditures for the period of </w:t>
      </w:r>
      <w:r w:rsidR="006410F1">
        <w:rPr>
          <w:lang w:val="en-GB"/>
        </w:rPr>
        <w:t xml:space="preserve">the </w:t>
      </w:r>
      <w:r w:rsidRPr="00EA60BB">
        <w:rPr>
          <w:lang w:val="en-GB"/>
        </w:rPr>
        <w:t xml:space="preserve">Project </w:t>
      </w:r>
      <w:r w:rsidRPr="005277CB">
        <w:rPr>
          <w:lang w:val="en-GB"/>
        </w:rPr>
        <w:t xml:space="preserve">duration </w:t>
      </w:r>
      <w:r w:rsidR="00E87D29">
        <w:rPr>
          <w:highlight w:val="yellow"/>
          <w:lang w:val="en-GB"/>
        </w:rPr>
        <w:t>from……</w:t>
      </w:r>
      <w:r w:rsidR="006410F1" w:rsidRPr="005277CB">
        <w:rPr>
          <w:highlight w:val="yellow"/>
          <w:lang w:val="en-GB"/>
        </w:rPr>
        <w:t>until</w:t>
      </w:r>
      <w:proofErr w:type="gramStart"/>
      <w:r w:rsidR="00E87D29">
        <w:rPr>
          <w:highlight w:val="yellow"/>
          <w:lang w:val="en-GB"/>
        </w:rPr>
        <w:t>…</w:t>
      </w:r>
      <w:r w:rsidR="00945EA6">
        <w:rPr>
          <w:lang w:val="en-GB"/>
        </w:rPr>
        <w:t>(</w:t>
      </w:r>
      <w:proofErr w:type="gramEnd"/>
      <w:r w:rsidR="00945EA6">
        <w:rPr>
          <w:lang w:val="en-GB"/>
        </w:rPr>
        <w:t>Project implementation period).</w:t>
      </w:r>
    </w:p>
    <w:p w14:paraId="6D580407" w14:textId="77777777" w:rsidR="007B0831" w:rsidRPr="00EA60BB" w:rsidRDefault="007B0831" w:rsidP="003A4891">
      <w:pPr>
        <w:rPr>
          <w:lang w:val="en-GB"/>
        </w:rPr>
      </w:pPr>
    </w:p>
    <w:p w14:paraId="649F7C79" w14:textId="63DA56A4" w:rsidR="003A4891" w:rsidRPr="00EA60BB" w:rsidRDefault="003A4891" w:rsidP="003A4891">
      <w:pPr>
        <w:rPr>
          <w:lang w:val="en-GB"/>
        </w:rPr>
      </w:pPr>
      <w:r w:rsidRPr="00EA60BB">
        <w:rPr>
          <w:lang w:val="en-GB"/>
        </w:rPr>
        <w:t xml:space="preserve">In our opinion, the accompanying Project financial statement </w:t>
      </w:r>
      <w:r w:rsidR="00EF444A">
        <w:rPr>
          <w:lang w:val="en-GB"/>
        </w:rPr>
        <w:t xml:space="preserve">(Financial Statement) </w:t>
      </w:r>
      <w:r w:rsidR="00945EA6">
        <w:rPr>
          <w:lang w:val="en-GB"/>
        </w:rPr>
        <w:t>prepared by</w:t>
      </w:r>
      <w:r w:rsidRPr="00EA60BB">
        <w:rPr>
          <w:lang w:val="en-GB"/>
        </w:rPr>
        <w:t xml:space="preserve"> the Beneficiary for the </w:t>
      </w:r>
      <w:r w:rsidR="003C6945">
        <w:rPr>
          <w:lang w:val="en-GB"/>
        </w:rPr>
        <w:t>Project implementation period</w:t>
      </w:r>
      <w:r w:rsidR="00945EA6">
        <w:rPr>
          <w:lang w:val="en-GB"/>
        </w:rPr>
        <w:t xml:space="preserve"> </w:t>
      </w:r>
      <w:r w:rsidRPr="005754AF">
        <w:rPr>
          <w:lang w:val="en-GB"/>
        </w:rPr>
        <w:t>give</w:t>
      </w:r>
      <w:r w:rsidR="006410F1" w:rsidRPr="005754AF">
        <w:rPr>
          <w:lang w:val="en-GB"/>
        </w:rPr>
        <w:t>s</w:t>
      </w:r>
      <w:r w:rsidRPr="005754AF">
        <w:rPr>
          <w:lang w:val="en-GB"/>
        </w:rPr>
        <w:t xml:space="preserve"> a true and fair view of the Project expenditures</w:t>
      </w:r>
      <w:r w:rsidR="00945EA6">
        <w:rPr>
          <w:lang w:val="en-GB"/>
        </w:rPr>
        <w:t>,</w:t>
      </w:r>
      <w:r w:rsidRPr="00EA60BB">
        <w:rPr>
          <w:i/>
          <w:lang w:val="en-GB"/>
        </w:rPr>
        <w:t xml:space="preserve"> </w:t>
      </w:r>
      <w:r w:rsidRPr="00EA60BB">
        <w:rPr>
          <w:lang w:val="en-GB"/>
        </w:rPr>
        <w:t xml:space="preserve">in accordance with the </w:t>
      </w:r>
      <w:r w:rsidR="00697428">
        <w:rPr>
          <w:lang w:val="en-GB"/>
        </w:rPr>
        <w:t>g</w:t>
      </w:r>
      <w:r w:rsidRPr="00EA60BB">
        <w:rPr>
          <w:lang w:val="en-GB"/>
        </w:rPr>
        <w:t xml:space="preserve">rant </w:t>
      </w:r>
      <w:r w:rsidR="00697428">
        <w:rPr>
          <w:lang w:val="en-GB"/>
        </w:rPr>
        <w:t>c</w:t>
      </w:r>
      <w:r w:rsidRPr="00EA60BB">
        <w:rPr>
          <w:lang w:val="en-GB"/>
        </w:rPr>
        <w:t xml:space="preserve">ontract (Contract) agreed between IVF and </w:t>
      </w:r>
      <w:r w:rsidR="006410F1">
        <w:rPr>
          <w:lang w:val="en-GB"/>
        </w:rPr>
        <w:t xml:space="preserve">the </w:t>
      </w:r>
      <w:r w:rsidRPr="00EA60BB">
        <w:rPr>
          <w:lang w:val="en-GB"/>
        </w:rPr>
        <w:t>Beneficiary</w:t>
      </w:r>
      <w:r w:rsidRPr="005277CB">
        <w:rPr>
          <w:lang w:val="en-GB"/>
        </w:rPr>
        <w:t>.</w:t>
      </w:r>
    </w:p>
    <w:p w14:paraId="55771894" w14:textId="77777777" w:rsidR="003A4891" w:rsidRPr="00EA60BB" w:rsidRDefault="003A4891" w:rsidP="003A4891">
      <w:pPr>
        <w:rPr>
          <w:lang w:val="en-GB"/>
        </w:rPr>
      </w:pPr>
    </w:p>
    <w:p w14:paraId="54F6D1D0" w14:textId="77777777" w:rsidR="003A4891" w:rsidRPr="00EA60BB" w:rsidRDefault="003A4891" w:rsidP="003A4891">
      <w:pPr>
        <w:rPr>
          <w:b/>
          <w:lang w:val="en-GB"/>
        </w:rPr>
      </w:pPr>
      <w:r w:rsidRPr="00EA60BB">
        <w:rPr>
          <w:b/>
          <w:lang w:val="en-GB"/>
        </w:rPr>
        <w:t xml:space="preserve">Basis for Opinion </w:t>
      </w:r>
    </w:p>
    <w:p w14:paraId="1BDBEF8F" w14:textId="3B041CDB" w:rsidR="003A4891" w:rsidRPr="00EA60BB" w:rsidRDefault="003A4891" w:rsidP="003A4891">
      <w:pPr>
        <w:rPr>
          <w:lang w:val="en-GB"/>
        </w:rPr>
      </w:pPr>
      <w:r w:rsidRPr="00EA60BB">
        <w:rPr>
          <w:lang w:val="en-GB"/>
        </w:rPr>
        <w:t xml:space="preserve">We conducted our audit in accordance with International Standards on Auditing (ISAs) and IVF requirements related to the audit of Project expenditures. Our responsibilities under those standards are further described in the </w:t>
      </w:r>
      <w:r w:rsidRPr="00EA60BB">
        <w:rPr>
          <w:i/>
          <w:iCs/>
          <w:lang w:val="en-GB"/>
        </w:rPr>
        <w:t>Auditor’s Responsibilities for the Audit of the Financial Statement</w:t>
      </w:r>
      <w:r w:rsidRPr="00EA60BB">
        <w:rPr>
          <w:lang w:val="en-GB"/>
        </w:rPr>
        <w:t xml:space="preserve"> section of our report. We are independent of the Beneficiary in accordance with the ethical requirements, including </w:t>
      </w:r>
      <w:r w:rsidR="006410F1">
        <w:rPr>
          <w:lang w:val="en-GB"/>
        </w:rPr>
        <w:t xml:space="preserve">the </w:t>
      </w:r>
      <w:r w:rsidRPr="00EA60BB">
        <w:rPr>
          <w:lang w:val="en-GB"/>
        </w:rPr>
        <w:t>Auditor</w:t>
      </w:r>
      <w:r w:rsidR="006410F1">
        <w:rPr>
          <w:lang w:val="en-GB"/>
        </w:rPr>
        <w:t>’</w:t>
      </w:r>
      <w:r w:rsidRPr="00EA60BB">
        <w:rPr>
          <w:lang w:val="en-GB"/>
        </w:rPr>
        <w:t xml:space="preserve">s Code of Ethics that are relevant to our audit of the </w:t>
      </w:r>
      <w:r w:rsidR="00EF444A">
        <w:rPr>
          <w:lang w:val="en-GB"/>
        </w:rPr>
        <w:t>F</w:t>
      </w:r>
      <w:r w:rsidRPr="00EA60BB">
        <w:rPr>
          <w:lang w:val="en-GB"/>
        </w:rPr>
        <w:t xml:space="preserve">inancial </w:t>
      </w:r>
      <w:r w:rsidR="00EF444A">
        <w:rPr>
          <w:lang w:val="en-GB"/>
        </w:rPr>
        <w:t>S</w:t>
      </w:r>
      <w:r w:rsidRPr="00EA60BB">
        <w:rPr>
          <w:lang w:val="en-GB"/>
        </w:rPr>
        <w:t xml:space="preserve">tatement in </w:t>
      </w:r>
      <w:r w:rsidRPr="005754AF">
        <w:rPr>
          <w:highlight w:val="yellow"/>
          <w:lang w:val="en-GB"/>
        </w:rPr>
        <w:t>[</w:t>
      </w:r>
      <w:r w:rsidRPr="005754AF">
        <w:rPr>
          <w:i/>
          <w:highlight w:val="yellow"/>
          <w:lang w:val="en-GB"/>
        </w:rPr>
        <w:t>include Auditor</w:t>
      </w:r>
      <w:r w:rsidR="00697428" w:rsidRPr="005754AF">
        <w:rPr>
          <w:i/>
          <w:highlight w:val="yellow"/>
          <w:lang w:val="en-GB"/>
        </w:rPr>
        <w:t>’</w:t>
      </w:r>
      <w:r w:rsidRPr="005754AF">
        <w:rPr>
          <w:i/>
          <w:highlight w:val="yellow"/>
          <w:lang w:val="en-GB"/>
        </w:rPr>
        <w:t xml:space="preserve">s </w:t>
      </w:r>
      <w:r w:rsidRPr="005754AF">
        <w:rPr>
          <w:i/>
          <w:iCs/>
          <w:highlight w:val="yellow"/>
          <w:lang w:val="en-GB"/>
        </w:rPr>
        <w:t>jurisdiction</w:t>
      </w:r>
      <w:r w:rsidRPr="005754AF">
        <w:rPr>
          <w:highlight w:val="yellow"/>
          <w:lang w:val="en-GB"/>
        </w:rPr>
        <w:t>]</w:t>
      </w:r>
      <w:r w:rsidRPr="00EA60BB">
        <w:rPr>
          <w:lang w:val="en-GB"/>
        </w:rPr>
        <w:t>, and we have fulfilled our other ethical responsibilities in accordance with these requirements. We believe that the audit evidence we have obtained is sufficient and appropriate to provide a basis for our opinion.</w:t>
      </w:r>
    </w:p>
    <w:p w14:paraId="5F81F001" w14:textId="77777777" w:rsidR="003A4891" w:rsidRPr="00EA60BB" w:rsidRDefault="003A4891" w:rsidP="003A4891">
      <w:pPr>
        <w:rPr>
          <w:b/>
          <w:bCs/>
          <w:lang w:val="en-GB"/>
        </w:rPr>
      </w:pPr>
    </w:p>
    <w:p w14:paraId="16E132E7" w14:textId="77777777" w:rsidR="003A4891" w:rsidRPr="00EA60BB" w:rsidRDefault="003A4891" w:rsidP="003A4891">
      <w:pPr>
        <w:rPr>
          <w:b/>
          <w:lang w:val="en-GB"/>
        </w:rPr>
      </w:pPr>
      <w:r w:rsidRPr="00EA60BB">
        <w:rPr>
          <w:b/>
          <w:lang w:val="en-GB"/>
        </w:rPr>
        <w:t xml:space="preserve">Emphasis of Matter – Purpose of this Report and Restriction on Distribution </w:t>
      </w:r>
    </w:p>
    <w:p w14:paraId="586A87E8" w14:textId="27D3D1EE" w:rsidR="003A4891" w:rsidRPr="00EA60BB" w:rsidRDefault="003A4891" w:rsidP="003A4891">
      <w:pPr>
        <w:rPr>
          <w:lang w:val="en-GB"/>
        </w:rPr>
      </w:pPr>
      <w:r w:rsidRPr="00EA60BB">
        <w:rPr>
          <w:lang w:val="en-GB"/>
        </w:rPr>
        <w:t xml:space="preserve">The financial statement is prepared to assist the </w:t>
      </w:r>
      <w:r w:rsidR="00B5450F" w:rsidRPr="00BD3B0E">
        <w:rPr>
          <w:lang w:val="en-GB"/>
        </w:rPr>
        <w:t>Beneficiary</w:t>
      </w:r>
      <w:r w:rsidR="00B5450F">
        <w:rPr>
          <w:lang w:val="en-GB"/>
        </w:rPr>
        <w:t>’s</w:t>
      </w:r>
      <w:r w:rsidR="00B5450F" w:rsidRPr="00BD3B0E">
        <w:rPr>
          <w:lang w:val="en-GB"/>
        </w:rPr>
        <w:t xml:space="preserve"> </w:t>
      </w:r>
      <w:r w:rsidRPr="00EA60BB">
        <w:rPr>
          <w:lang w:val="en-GB"/>
        </w:rPr>
        <w:t xml:space="preserve">statutory body in meeting the conditions of the Contract and </w:t>
      </w:r>
      <w:r w:rsidR="00FE7B4F">
        <w:rPr>
          <w:lang w:val="en-GB"/>
        </w:rPr>
        <w:t>Grant</w:t>
      </w:r>
      <w:r w:rsidR="00FE7B4F" w:rsidRPr="00EA60BB">
        <w:rPr>
          <w:lang w:val="en-GB"/>
        </w:rPr>
        <w:t xml:space="preserve"> </w:t>
      </w:r>
      <w:r w:rsidR="00BC24E8">
        <w:rPr>
          <w:lang w:val="en-GB"/>
        </w:rPr>
        <w:t>G</w:t>
      </w:r>
      <w:r w:rsidRPr="00EA60BB">
        <w:rPr>
          <w:lang w:val="en-GB"/>
        </w:rPr>
        <w:t>uidelines related to accounting and financial reporting of the Project expenditures. As a result, the financial statement may not be suitable for another purpose. Our report is intended solely for the IVF and Beneficiary and should not be distributed to parties other than the IVF and Beneficiary. Our opinion is not modified in respect of this matter.</w:t>
      </w:r>
    </w:p>
    <w:p w14:paraId="09ECADC5" w14:textId="77777777" w:rsidR="003A4891" w:rsidRPr="00EA60BB" w:rsidRDefault="003A4891" w:rsidP="003A4891">
      <w:pPr>
        <w:rPr>
          <w:b/>
          <w:bCs/>
          <w:lang w:val="en-GB"/>
        </w:rPr>
      </w:pPr>
    </w:p>
    <w:p w14:paraId="57D313EA" w14:textId="6B8D8AE9" w:rsidR="003A4891" w:rsidRPr="00EA60BB" w:rsidRDefault="003A4891" w:rsidP="003A4891">
      <w:pPr>
        <w:rPr>
          <w:b/>
          <w:lang w:val="en-GB"/>
        </w:rPr>
      </w:pPr>
      <w:r w:rsidRPr="00EA60BB">
        <w:rPr>
          <w:b/>
          <w:lang w:val="en-GB"/>
        </w:rPr>
        <w:t xml:space="preserve">Responsibilities of </w:t>
      </w:r>
      <w:r w:rsidR="00B5450F">
        <w:rPr>
          <w:b/>
          <w:lang w:val="en-GB"/>
        </w:rPr>
        <w:t xml:space="preserve">the </w:t>
      </w:r>
      <w:r w:rsidRPr="00EA60BB">
        <w:rPr>
          <w:b/>
          <w:lang w:val="en-GB"/>
        </w:rPr>
        <w:t>Beneficiary</w:t>
      </w:r>
      <w:r w:rsidR="00B5450F">
        <w:rPr>
          <w:b/>
          <w:lang w:val="en-GB"/>
        </w:rPr>
        <w:t>’s</w:t>
      </w:r>
      <w:r w:rsidRPr="00EA60BB">
        <w:rPr>
          <w:b/>
          <w:lang w:val="en-GB"/>
        </w:rPr>
        <w:t xml:space="preserve"> Statutory Body for the Financial Statement </w:t>
      </w:r>
    </w:p>
    <w:p w14:paraId="57AFDE6F" w14:textId="2BD3C909" w:rsidR="003A4891" w:rsidRPr="00EA60BB" w:rsidRDefault="00B5450F" w:rsidP="003A4891">
      <w:pPr>
        <w:rPr>
          <w:lang w:val="en-GB"/>
        </w:rPr>
      </w:pPr>
      <w:r>
        <w:rPr>
          <w:lang w:val="en-GB"/>
        </w:rPr>
        <w:t xml:space="preserve">The </w:t>
      </w:r>
      <w:r w:rsidR="003A4891" w:rsidRPr="00EA60BB">
        <w:rPr>
          <w:lang w:val="en-GB"/>
        </w:rPr>
        <w:t>Beneficiary</w:t>
      </w:r>
      <w:r>
        <w:rPr>
          <w:lang w:val="en-GB"/>
        </w:rPr>
        <w:t>’s</w:t>
      </w:r>
      <w:r w:rsidR="003A4891" w:rsidRPr="00EA60BB">
        <w:rPr>
          <w:lang w:val="en-GB"/>
        </w:rPr>
        <w:t xml:space="preserve"> </w:t>
      </w:r>
      <w:r>
        <w:rPr>
          <w:lang w:val="en-GB"/>
        </w:rPr>
        <w:t>s</w:t>
      </w:r>
      <w:r w:rsidR="003A4891" w:rsidRPr="00EA60BB">
        <w:rPr>
          <w:lang w:val="en-GB"/>
        </w:rPr>
        <w:t xml:space="preserve">tatutory </w:t>
      </w:r>
      <w:r>
        <w:rPr>
          <w:lang w:val="en-GB"/>
        </w:rPr>
        <w:t>b</w:t>
      </w:r>
      <w:r w:rsidR="003A4891" w:rsidRPr="00EA60BB">
        <w:rPr>
          <w:lang w:val="en-GB"/>
        </w:rPr>
        <w:t xml:space="preserve">ody is responsible for the preparation of the </w:t>
      </w:r>
      <w:r w:rsidR="00EF444A">
        <w:rPr>
          <w:lang w:val="en-GB"/>
        </w:rPr>
        <w:t>F</w:t>
      </w:r>
      <w:r w:rsidR="003A4891" w:rsidRPr="00EA60BB">
        <w:rPr>
          <w:lang w:val="en-GB"/>
        </w:rPr>
        <w:t xml:space="preserve">inancial </w:t>
      </w:r>
      <w:r w:rsidR="00EF444A">
        <w:rPr>
          <w:lang w:val="en-GB"/>
        </w:rPr>
        <w:t>S</w:t>
      </w:r>
      <w:r w:rsidR="003A4891" w:rsidRPr="00EA60BB">
        <w:rPr>
          <w:lang w:val="en-GB"/>
        </w:rPr>
        <w:t xml:space="preserve">tatement in accordance with the Contract </w:t>
      </w:r>
      <w:r w:rsidR="003A4891" w:rsidRPr="005754AF">
        <w:rPr>
          <w:lang w:val="en-GB"/>
        </w:rPr>
        <w:t xml:space="preserve">and </w:t>
      </w:r>
      <w:r w:rsidR="003C6945">
        <w:rPr>
          <w:lang w:val="en-GB"/>
        </w:rPr>
        <w:t>Grant</w:t>
      </w:r>
      <w:r w:rsidR="003C6945" w:rsidRPr="005754AF">
        <w:rPr>
          <w:lang w:val="en-GB"/>
        </w:rPr>
        <w:t xml:space="preserve"> </w:t>
      </w:r>
      <w:r w:rsidR="003A4891" w:rsidRPr="005754AF">
        <w:rPr>
          <w:lang w:val="en-GB"/>
        </w:rPr>
        <w:t>Guidelines</w:t>
      </w:r>
      <w:r w:rsidR="003C6945">
        <w:rPr>
          <w:lang w:val="en-GB"/>
        </w:rPr>
        <w:t>,</w:t>
      </w:r>
      <w:r w:rsidR="003A4891" w:rsidRPr="00EA60BB">
        <w:rPr>
          <w:lang w:val="en-GB"/>
        </w:rPr>
        <w:t xml:space="preserve"> and for such internal control as management determines is necessary to enable the preparation of </w:t>
      </w:r>
      <w:r w:rsidR="00EF444A">
        <w:rPr>
          <w:lang w:val="en-GB"/>
        </w:rPr>
        <w:t>F</w:t>
      </w:r>
      <w:r w:rsidR="003A4891" w:rsidRPr="00EA60BB">
        <w:rPr>
          <w:lang w:val="en-GB"/>
        </w:rPr>
        <w:t xml:space="preserve">inancial </w:t>
      </w:r>
      <w:r w:rsidR="00EF444A">
        <w:rPr>
          <w:lang w:val="en-GB"/>
        </w:rPr>
        <w:t>S</w:t>
      </w:r>
      <w:r w:rsidR="003A4891" w:rsidRPr="00EA60BB">
        <w:rPr>
          <w:lang w:val="en-GB"/>
        </w:rPr>
        <w:t>tatement that is free from material misstatement, whether due to fraud or error.</w:t>
      </w:r>
    </w:p>
    <w:p w14:paraId="10F52DC8" w14:textId="77777777" w:rsidR="003A4891" w:rsidRPr="00EA60BB" w:rsidRDefault="003A4891" w:rsidP="003A4891">
      <w:pPr>
        <w:rPr>
          <w:lang w:val="en-GB"/>
        </w:rPr>
      </w:pPr>
    </w:p>
    <w:p w14:paraId="28EA02E3" w14:textId="77777777" w:rsidR="003A4891" w:rsidRPr="00EA60BB" w:rsidRDefault="003A4891" w:rsidP="003A4891">
      <w:pPr>
        <w:rPr>
          <w:b/>
          <w:lang w:val="en-GB"/>
        </w:rPr>
      </w:pPr>
      <w:r w:rsidRPr="00EA60BB">
        <w:rPr>
          <w:b/>
          <w:lang w:val="en-GB"/>
        </w:rPr>
        <w:t xml:space="preserve">Auditor’s Responsibilities for the Audit of the Financial Statement </w:t>
      </w:r>
    </w:p>
    <w:p w14:paraId="347D7EE7" w14:textId="089A247B" w:rsidR="003A4891" w:rsidRPr="00EA60BB" w:rsidRDefault="003A4891" w:rsidP="003A4891">
      <w:pPr>
        <w:rPr>
          <w:lang w:val="en-GB"/>
        </w:rPr>
      </w:pPr>
      <w:r w:rsidRPr="00EA60BB">
        <w:rPr>
          <w:lang w:val="en-GB"/>
        </w:rPr>
        <w:t xml:space="preserve">Our objectives are to obtain reasonable assurance about whether the </w:t>
      </w:r>
      <w:r w:rsidR="00EF444A">
        <w:rPr>
          <w:lang w:val="en-GB"/>
        </w:rPr>
        <w:t>F</w:t>
      </w:r>
      <w:r w:rsidRPr="00EA60BB">
        <w:rPr>
          <w:lang w:val="en-GB"/>
        </w:rPr>
        <w:t xml:space="preserve">inancial </w:t>
      </w:r>
      <w:r w:rsidR="00EF444A">
        <w:rPr>
          <w:lang w:val="en-GB"/>
        </w:rPr>
        <w:t>S</w:t>
      </w:r>
      <w:r w:rsidRPr="00EA60BB">
        <w:rPr>
          <w:lang w:val="en-GB"/>
        </w:rPr>
        <w:t xml:space="preserve">tatement as a whole is free from material misstatement, whether due to fraud or error, and to issue an auditor’s report that includes our opinion. Reasonable assurance is a high level of assurance, but is not a guarantee that an audit conducted in accordance with International Standards on Auditing (ISAs) will always detect a material misstatement when it exists. Misstatements can arise from fraud or error and are considered material if, individually or in aggregate, they could reasonably be expected to influence the economic decisions of users taken on the basis of this </w:t>
      </w:r>
      <w:r w:rsidR="00EF444A">
        <w:rPr>
          <w:lang w:val="en-GB"/>
        </w:rPr>
        <w:t>F</w:t>
      </w:r>
      <w:r w:rsidRPr="00EA60BB">
        <w:rPr>
          <w:lang w:val="en-GB"/>
        </w:rPr>
        <w:t xml:space="preserve">inancial </w:t>
      </w:r>
      <w:r w:rsidR="00EF444A">
        <w:rPr>
          <w:lang w:val="en-GB"/>
        </w:rPr>
        <w:t>S</w:t>
      </w:r>
      <w:r w:rsidRPr="00EA60BB">
        <w:rPr>
          <w:lang w:val="en-GB"/>
        </w:rPr>
        <w:t>tatement.</w:t>
      </w:r>
    </w:p>
    <w:p w14:paraId="7363F4FE" w14:textId="77777777" w:rsidR="001446D0" w:rsidRDefault="001446D0" w:rsidP="003A4891">
      <w:pPr>
        <w:spacing w:after="120"/>
        <w:jc w:val="both"/>
        <w:rPr>
          <w:szCs w:val="18"/>
          <w:lang w:val="en-GB"/>
        </w:rPr>
      </w:pPr>
    </w:p>
    <w:p w14:paraId="2514A3EF" w14:textId="35C6D7D3" w:rsidR="003A4891" w:rsidRPr="00EA60BB" w:rsidRDefault="003A4891" w:rsidP="003A4891">
      <w:pPr>
        <w:spacing w:after="120"/>
        <w:jc w:val="both"/>
        <w:rPr>
          <w:rFonts w:ascii="Verdana" w:eastAsia="Times New Roman" w:hAnsi="Verdana" w:cs="Arial"/>
          <w:szCs w:val="18"/>
          <w:lang w:val="en-GB"/>
        </w:rPr>
      </w:pPr>
      <w:r w:rsidRPr="00EA60BB">
        <w:rPr>
          <w:szCs w:val="18"/>
          <w:lang w:val="en-GB"/>
        </w:rPr>
        <w:t xml:space="preserve">We declare that we meet criteria laid down on Auditors of IVF Grant Projects. As part of an audit in accordance with ISAs, we exercised professional judgment and maintained professional </w:t>
      </w:r>
      <w:r w:rsidR="00697428" w:rsidRPr="00665E13">
        <w:rPr>
          <w:szCs w:val="18"/>
          <w:lang w:val="en-GB"/>
        </w:rPr>
        <w:t>scepticism</w:t>
      </w:r>
      <w:r w:rsidRPr="00EA60BB">
        <w:rPr>
          <w:szCs w:val="18"/>
          <w:lang w:val="en-GB"/>
        </w:rPr>
        <w:t xml:space="preserve"> throughout the audit. </w:t>
      </w:r>
      <w:r w:rsidRPr="00EA60BB">
        <w:rPr>
          <w:rFonts w:ascii="Verdana" w:eastAsia="Times New Roman" w:hAnsi="Verdana" w:cs="Arial"/>
          <w:szCs w:val="18"/>
          <w:lang w:val="en-GB"/>
        </w:rPr>
        <w:t xml:space="preserve">We also: </w:t>
      </w:r>
    </w:p>
    <w:p w14:paraId="23E1D381" w14:textId="0052FA30" w:rsidR="003A4891" w:rsidRPr="00665E13" w:rsidRDefault="003A4891" w:rsidP="00351249">
      <w:pPr>
        <w:pStyle w:val="ListBullet"/>
      </w:pPr>
      <w:r w:rsidRPr="007A49F1">
        <w:t xml:space="preserve">Identified and assessed the risks of material misstatement of the </w:t>
      </w:r>
      <w:r w:rsidR="00EF444A">
        <w:t>F</w:t>
      </w:r>
      <w:r w:rsidRPr="007A49F1">
        <w:t xml:space="preserve">inancial </w:t>
      </w:r>
      <w:r w:rsidR="00EF444A">
        <w:t>S</w:t>
      </w:r>
      <w:r w:rsidRPr="007A49F1">
        <w:t>tatement, whether due to fraud or error, design</w:t>
      </w:r>
      <w:r w:rsidR="006410F1">
        <w:t>ed</w:t>
      </w:r>
      <w:r w:rsidRPr="007A49F1">
        <w:t xml:space="preserve"> and perform</w:t>
      </w:r>
      <w:r w:rsidR="006410F1">
        <w:t>ed</w:t>
      </w:r>
      <w:r w:rsidRPr="007A49F1">
        <w:t xml:space="preserve"> audit procedures responsive to those risks, and obtained audit evidence that is sufficient and appropriate to provide a basis for our opinion. The risk of not detecting a material misstatement resulting from fraud is</w:t>
      </w:r>
      <w:r w:rsidRPr="00665E13">
        <w:t xml:space="preserve"> higher than for one resulting </w:t>
      </w:r>
      <w:r w:rsidRPr="00665E13">
        <w:lastRenderedPageBreak/>
        <w:t>from error, as fraud may involve collusion, forgery, intentional omissions, misrepresentations, or the override of internal control.</w:t>
      </w:r>
    </w:p>
    <w:p w14:paraId="297BC0E0" w14:textId="6E530E6C" w:rsidR="003A4891" w:rsidRPr="007A49F1" w:rsidRDefault="003A4891" w:rsidP="00351249">
      <w:pPr>
        <w:pStyle w:val="ListBullet"/>
      </w:pPr>
      <w:r w:rsidRPr="006410F1">
        <w:t>Obtain</w:t>
      </w:r>
      <w:r w:rsidR="006410F1">
        <w:t>ed</w:t>
      </w:r>
      <w:r w:rsidRPr="007A49F1">
        <w:t xml:space="preserve"> an understanding of internal control</w:t>
      </w:r>
      <w:r w:rsidR="006410F1">
        <w:t>s</w:t>
      </w:r>
      <w:r w:rsidRPr="007A49F1">
        <w:t xml:space="preserve"> relevant to the audit.</w:t>
      </w:r>
    </w:p>
    <w:p w14:paraId="0BA31005" w14:textId="0A54B9C4" w:rsidR="003A4891" w:rsidRPr="00665E13" w:rsidRDefault="003A4891" w:rsidP="00351249">
      <w:pPr>
        <w:pStyle w:val="ListBullet"/>
      </w:pPr>
      <w:r w:rsidRPr="00665E13">
        <w:t xml:space="preserve">Verified eligibility of the Project expenditures with the relevant national legislation, conditions of the </w:t>
      </w:r>
      <w:r w:rsidR="004653D0">
        <w:t>g</w:t>
      </w:r>
      <w:r w:rsidRPr="00665E13">
        <w:t xml:space="preserve">rant </w:t>
      </w:r>
      <w:r w:rsidR="004653D0">
        <w:t>c</w:t>
      </w:r>
      <w:r w:rsidRPr="00665E13">
        <w:t xml:space="preserve">ontract and the </w:t>
      </w:r>
      <w:r w:rsidR="00FE7B4F">
        <w:t>Grant</w:t>
      </w:r>
      <w:r w:rsidR="00FE7B4F" w:rsidRPr="00665E13">
        <w:t xml:space="preserve"> </w:t>
      </w:r>
      <w:r w:rsidR="00EF444A">
        <w:t>G</w:t>
      </w:r>
      <w:r w:rsidRPr="00665E13">
        <w:t xml:space="preserve">uidelines. </w:t>
      </w:r>
    </w:p>
    <w:p w14:paraId="09AA3D9A" w14:textId="77777777" w:rsidR="003A4891" w:rsidRPr="006410F1" w:rsidRDefault="003A4891" w:rsidP="00351249">
      <w:pPr>
        <w:pStyle w:val="ListBullet"/>
      </w:pPr>
      <w:r w:rsidRPr="006410F1">
        <w:t>Tested all Project expenditures declared in the Financial Statement (no sample selection).</w:t>
      </w:r>
    </w:p>
    <w:p w14:paraId="6309EFBF" w14:textId="6F673BC4" w:rsidR="003A4891" w:rsidRPr="006410F1" w:rsidRDefault="003A4891" w:rsidP="00351249">
      <w:pPr>
        <w:pStyle w:val="ListBullet"/>
      </w:pPr>
      <w:r w:rsidRPr="006410F1">
        <w:t>Checked double financing – that the project expenditures were not financed from other projects implemented by the Beneficiary</w:t>
      </w:r>
      <w:r w:rsidR="00BC24E8">
        <w:t>.</w:t>
      </w:r>
      <w:r w:rsidRPr="006410F1">
        <w:t xml:space="preserve"> </w:t>
      </w:r>
    </w:p>
    <w:p w14:paraId="0F3F5213" w14:textId="7315111B" w:rsidR="003A4891" w:rsidRPr="00665E13" w:rsidRDefault="003A4891" w:rsidP="00351249">
      <w:pPr>
        <w:pStyle w:val="ListBullet"/>
      </w:pPr>
      <w:r w:rsidRPr="006410F1">
        <w:t>Evaluate</w:t>
      </w:r>
      <w:r w:rsidR="006410F1">
        <w:t>d</w:t>
      </w:r>
      <w:r w:rsidRPr="007A49F1">
        <w:t xml:space="preserve"> the appropriateness of </w:t>
      </w:r>
      <w:r w:rsidR="004653D0">
        <w:t xml:space="preserve">the </w:t>
      </w:r>
      <w:r w:rsidRPr="007A49F1">
        <w:t xml:space="preserve">accounting policies used, compliance of </w:t>
      </w:r>
      <w:r w:rsidR="006410F1">
        <w:t xml:space="preserve">the </w:t>
      </w:r>
      <w:r w:rsidRPr="007A49F1">
        <w:t xml:space="preserve">reported expenditures with national accounting rules and related disclosures made by </w:t>
      </w:r>
      <w:r w:rsidR="004653D0">
        <w:t>the s</w:t>
      </w:r>
      <w:r w:rsidRPr="007A49F1">
        <w:t xml:space="preserve">tatutory </w:t>
      </w:r>
      <w:r w:rsidR="004653D0">
        <w:t>b</w:t>
      </w:r>
      <w:r w:rsidRPr="007A49F1">
        <w:t xml:space="preserve">ody in the </w:t>
      </w:r>
      <w:r w:rsidR="00EF444A">
        <w:t>F</w:t>
      </w:r>
      <w:r w:rsidRPr="007A49F1">
        <w:t xml:space="preserve">inancial </w:t>
      </w:r>
      <w:r w:rsidR="00EF444A">
        <w:t>S</w:t>
      </w:r>
      <w:r w:rsidRPr="007A49F1">
        <w:t xml:space="preserve">tatement. </w:t>
      </w:r>
    </w:p>
    <w:p w14:paraId="0B3C54A9" w14:textId="77777777" w:rsidR="003A4891" w:rsidRDefault="003A4891" w:rsidP="00E94C20">
      <w:pPr>
        <w:rPr>
          <w:szCs w:val="18"/>
          <w:lang w:val="en-GB"/>
        </w:rPr>
      </w:pPr>
    </w:p>
    <w:p w14:paraId="502D86FD" w14:textId="77777777" w:rsidR="001446D0" w:rsidRPr="00EA60BB" w:rsidRDefault="001446D0" w:rsidP="00E94C20">
      <w:pPr>
        <w:rPr>
          <w:szCs w:val="18"/>
          <w:lang w:val="en-GB"/>
        </w:rPr>
      </w:pPr>
    </w:p>
    <w:p w14:paraId="0CD2D137" w14:textId="1264C3EB" w:rsidR="00EA416B" w:rsidRPr="001446D0" w:rsidRDefault="00EA416B" w:rsidP="001446D0">
      <w:pPr>
        <w:rPr>
          <w:i/>
        </w:rPr>
      </w:pPr>
      <w:r w:rsidRPr="001446D0">
        <w:rPr>
          <w:i/>
        </w:rPr>
        <w:t xml:space="preserve">[Signature in the name of the audit firm, the personal name of the auditor, or both, as appropriate for the particular jurisdiction] </w:t>
      </w:r>
    </w:p>
    <w:p w14:paraId="0EB0E222" w14:textId="77777777" w:rsidR="00EA416B" w:rsidRPr="001446D0" w:rsidRDefault="00EA416B" w:rsidP="001446D0">
      <w:pPr>
        <w:rPr>
          <w:i/>
        </w:rPr>
      </w:pPr>
      <w:r w:rsidRPr="001446D0">
        <w:rPr>
          <w:i/>
        </w:rPr>
        <w:t xml:space="preserve">[Auditor address] </w:t>
      </w:r>
    </w:p>
    <w:p w14:paraId="32DFD9D7" w14:textId="77777777" w:rsidR="00EA416B" w:rsidRPr="001446D0" w:rsidRDefault="00EA416B" w:rsidP="001446D0">
      <w:pPr>
        <w:rPr>
          <w:i/>
          <w:color w:val="000000"/>
        </w:rPr>
      </w:pPr>
      <w:r w:rsidRPr="001446D0">
        <w:rPr>
          <w:i/>
        </w:rPr>
        <w:t>[Date]</w:t>
      </w:r>
    </w:p>
    <w:p w14:paraId="2305788D" w14:textId="77777777" w:rsidR="005E3501" w:rsidRPr="00EA60BB" w:rsidRDefault="005E3501" w:rsidP="00E94C20">
      <w:pPr>
        <w:rPr>
          <w:lang w:val="en-GB"/>
        </w:rPr>
      </w:pPr>
    </w:p>
    <w:p w14:paraId="23EE7ED5" w14:textId="77777777" w:rsidR="003A4891" w:rsidRPr="00EA60BB" w:rsidRDefault="003A4891" w:rsidP="00E94C20">
      <w:pPr>
        <w:rPr>
          <w:lang w:val="en-GB"/>
        </w:rPr>
      </w:pPr>
    </w:p>
    <w:p w14:paraId="3CC0738D" w14:textId="77777777" w:rsidR="007D5B3C" w:rsidRPr="00EA60BB" w:rsidRDefault="007D5B3C" w:rsidP="00E94C20">
      <w:pPr>
        <w:rPr>
          <w:lang w:val="en-GB"/>
        </w:rPr>
        <w:sectPr w:rsidR="007D5B3C" w:rsidRPr="00EA60BB" w:rsidSect="008827D0">
          <w:footerReference w:type="default" r:id="rId11"/>
          <w:headerReference w:type="first" r:id="rId12"/>
          <w:footerReference w:type="first" r:id="rId13"/>
          <w:pgSz w:w="11906" w:h="16838" w:code="9"/>
          <w:pgMar w:top="1985" w:right="1134" w:bottom="567" w:left="1418" w:header="680" w:footer="397" w:gutter="0"/>
          <w:cols w:space="284"/>
          <w:docGrid w:linePitch="360"/>
        </w:sectPr>
      </w:pPr>
    </w:p>
    <w:p w14:paraId="7CE0B4F5" w14:textId="77777777" w:rsidR="00A72DD3" w:rsidRDefault="00A72DD3" w:rsidP="00DE4B98">
      <w:pPr>
        <w:pStyle w:val="Heading1"/>
        <w:rPr>
          <w:lang w:val="en-GB"/>
        </w:rPr>
      </w:pPr>
      <w:bookmarkStart w:id="0" w:name="_Toc481486098"/>
    </w:p>
    <w:p w14:paraId="0DDC869D" w14:textId="3F4A6E6E" w:rsidR="007D5B3C" w:rsidRPr="00EA60BB" w:rsidRDefault="00D84D03" w:rsidP="00DE4B98">
      <w:pPr>
        <w:pStyle w:val="Heading1"/>
        <w:rPr>
          <w:lang w:val="en-GB"/>
        </w:rPr>
      </w:pPr>
      <w:r w:rsidRPr="00EA60BB">
        <w:rPr>
          <w:lang w:val="en-GB"/>
        </w:rPr>
        <w:t xml:space="preserve">ANNEX 1 - </w:t>
      </w:r>
      <w:r w:rsidR="0016019D">
        <w:rPr>
          <w:lang w:val="en-GB"/>
        </w:rPr>
        <w:t>CHECKLIST</w:t>
      </w:r>
      <w:r w:rsidR="0016019D" w:rsidRPr="00EA60BB">
        <w:rPr>
          <w:lang w:val="en-GB"/>
        </w:rPr>
        <w:t xml:space="preserve"> </w:t>
      </w:r>
      <w:r w:rsidRPr="00EA60BB">
        <w:rPr>
          <w:lang w:val="en-GB"/>
        </w:rPr>
        <w:t xml:space="preserve">TO BE PROVIDED TOGETHER WITH </w:t>
      </w:r>
      <w:r>
        <w:rPr>
          <w:lang w:val="en-GB"/>
        </w:rPr>
        <w:t xml:space="preserve">THE </w:t>
      </w:r>
      <w:r w:rsidRPr="00EA60BB">
        <w:rPr>
          <w:lang w:val="en-GB"/>
        </w:rPr>
        <w:t>AUDITOR</w:t>
      </w:r>
      <w:r>
        <w:rPr>
          <w:lang w:val="en-GB"/>
        </w:rPr>
        <w:t>’</w:t>
      </w:r>
      <w:r w:rsidRPr="00EA60BB">
        <w:rPr>
          <w:lang w:val="en-GB"/>
        </w:rPr>
        <w:t>S REPORT</w:t>
      </w:r>
      <w:bookmarkEnd w:id="0"/>
    </w:p>
    <w:p w14:paraId="18E012E6" w14:textId="77777777" w:rsidR="001913CB" w:rsidRPr="003E6A8A" w:rsidRDefault="001913CB" w:rsidP="001913CB">
      <w:pPr>
        <w:autoSpaceDE w:val="0"/>
        <w:autoSpaceDN w:val="0"/>
        <w:adjustRightInd w:val="0"/>
        <w:jc w:val="center"/>
        <w:rPr>
          <w:rFonts w:ascii="Verdana" w:hAnsi="Verdana" w:cs="Times New Roman"/>
          <w:b/>
          <w:bCs/>
          <w:color w:val="070707"/>
          <w:sz w:val="28"/>
          <w:szCs w:val="28"/>
        </w:rPr>
      </w:pPr>
      <w:r w:rsidRPr="003E6A8A">
        <w:rPr>
          <w:rFonts w:ascii="Verdana" w:hAnsi="Verdana" w:cs="Times New Roman"/>
          <w:b/>
          <w:bCs/>
          <w:color w:val="070707"/>
          <w:sz w:val="28"/>
          <w:szCs w:val="28"/>
        </w:rPr>
        <w:t>Checklist for the audit of projects supported by International Visegrad Fund</w:t>
      </w:r>
    </w:p>
    <w:p w14:paraId="6741C630" w14:textId="77777777" w:rsidR="001913CB" w:rsidRPr="003E6A8A" w:rsidRDefault="001913CB" w:rsidP="001913CB">
      <w:pPr>
        <w:autoSpaceDE w:val="0"/>
        <w:autoSpaceDN w:val="0"/>
        <w:adjustRightInd w:val="0"/>
        <w:rPr>
          <w:rFonts w:ascii="Verdana" w:hAnsi="Verdana" w:cs="Times New Roman"/>
          <w:b/>
          <w:bCs/>
          <w:color w:val="070707"/>
          <w:sz w:val="28"/>
          <w:szCs w:val="28"/>
        </w:rPr>
      </w:pPr>
    </w:p>
    <w:p w14:paraId="615D07F6" w14:textId="0650FF8A" w:rsidR="001913CB" w:rsidRPr="001913CB" w:rsidRDefault="001913CB" w:rsidP="001913CB">
      <w:pPr>
        <w:pStyle w:val="ListParagraph"/>
        <w:numPr>
          <w:ilvl w:val="0"/>
          <w:numId w:val="27"/>
        </w:numPr>
        <w:autoSpaceDE w:val="0"/>
        <w:autoSpaceDN w:val="0"/>
        <w:adjustRightInd w:val="0"/>
        <w:rPr>
          <w:rFonts w:ascii="Verdana" w:hAnsi="Verdana" w:cs="Times New Roman"/>
          <w:bCs/>
          <w:color w:val="000000"/>
          <w:sz w:val="20"/>
          <w:szCs w:val="20"/>
        </w:rPr>
      </w:pPr>
      <w:r w:rsidRPr="001913CB">
        <w:rPr>
          <w:rFonts w:ascii="Verdana" w:hAnsi="Verdana" w:cs="Times New Roman"/>
          <w:b/>
          <w:bCs/>
          <w:color w:val="070707"/>
          <w:sz w:val="20"/>
          <w:szCs w:val="20"/>
        </w:rPr>
        <w:t xml:space="preserve">Objective: </w:t>
      </w:r>
      <w:r w:rsidRPr="001913CB">
        <w:rPr>
          <w:rFonts w:ascii="Verdana" w:hAnsi="Verdana" w:cs="Times New Roman"/>
          <w:bCs/>
          <w:color w:val="000000"/>
          <w:sz w:val="20"/>
          <w:szCs w:val="20"/>
        </w:rPr>
        <w:t xml:space="preserve">To test the </w:t>
      </w:r>
      <w:r w:rsidR="001F0948">
        <w:rPr>
          <w:rFonts w:ascii="Verdana" w:hAnsi="Verdana" w:cs="Times New Roman"/>
          <w:bCs/>
          <w:color w:val="000000"/>
          <w:sz w:val="20"/>
          <w:szCs w:val="20"/>
        </w:rPr>
        <w:t>F</w:t>
      </w:r>
      <w:r w:rsidRPr="001913CB">
        <w:rPr>
          <w:rFonts w:ascii="Verdana" w:hAnsi="Verdana" w:cs="Times New Roman"/>
          <w:bCs/>
          <w:color w:val="000000"/>
          <w:sz w:val="20"/>
          <w:szCs w:val="20"/>
        </w:rPr>
        <w:t xml:space="preserve">inancial </w:t>
      </w:r>
      <w:r w:rsidR="001F0948">
        <w:rPr>
          <w:rFonts w:ascii="Verdana" w:hAnsi="Verdana" w:cs="Times New Roman"/>
          <w:bCs/>
          <w:color w:val="000000"/>
          <w:sz w:val="20"/>
          <w:szCs w:val="20"/>
        </w:rPr>
        <w:t>S</w:t>
      </w:r>
      <w:r w:rsidRPr="001913CB">
        <w:rPr>
          <w:rFonts w:ascii="Verdana" w:hAnsi="Verdana" w:cs="Times New Roman"/>
          <w:bCs/>
          <w:color w:val="000000"/>
          <w:sz w:val="20"/>
          <w:szCs w:val="20"/>
        </w:rPr>
        <w:t xml:space="preserve">tatement and expenditures declared in the interim and final </w:t>
      </w:r>
      <w:r w:rsidR="001F0948">
        <w:rPr>
          <w:rFonts w:ascii="Verdana" w:hAnsi="Verdana" w:cs="Times New Roman"/>
          <w:bCs/>
          <w:color w:val="000000"/>
          <w:sz w:val="20"/>
          <w:szCs w:val="20"/>
        </w:rPr>
        <w:t>s</w:t>
      </w:r>
      <w:r w:rsidRPr="001913CB">
        <w:rPr>
          <w:rFonts w:ascii="Verdana" w:hAnsi="Verdana" w:cs="Times New Roman"/>
          <w:bCs/>
          <w:color w:val="000000"/>
          <w:sz w:val="20"/>
          <w:szCs w:val="20"/>
        </w:rPr>
        <w:t>ettlement whether they meet the criteria for eligibility set in the Grant Contract and the Grant Guideline</w:t>
      </w:r>
      <w:r w:rsidR="001F0948">
        <w:rPr>
          <w:rFonts w:ascii="Verdana" w:hAnsi="Verdana" w:cs="Times New Roman"/>
          <w:bCs/>
          <w:color w:val="000000"/>
          <w:sz w:val="20"/>
          <w:szCs w:val="20"/>
        </w:rPr>
        <w:t>s</w:t>
      </w:r>
      <w:r w:rsidRPr="001913CB">
        <w:rPr>
          <w:rFonts w:ascii="Verdana" w:hAnsi="Verdana" w:cs="Times New Roman"/>
          <w:bCs/>
          <w:color w:val="000000"/>
          <w:sz w:val="20"/>
          <w:szCs w:val="20"/>
        </w:rPr>
        <w:t xml:space="preserve">. </w:t>
      </w:r>
    </w:p>
    <w:p w14:paraId="4907511E" w14:textId="77777777" w:rsidR="001913CB" w:rsidRPr="003E6A8A" w:rsidRDefault="001913CB" w:rsidP="001913CB">
      <w:pPr>
        <w:autoSpaceDE w:val="0"/>
        <w:autoSpaceDN w:val="0"/>
        <w:adjustRightInd w:val="0"/>
        <w:rPr>
          <w:rFonts w:ascii="Verdana" w:hAnsi="Verdana" w:cs="Times New Roman"/>
          <w:bCs/>
          <w:color w:val="000000"/>
          <w:sz w:val="20"/>
          <w:szCs w:val="20"/>
        </w:rPr>
      </w:pPr>
    </w:p>
    <w:p w14:paraId="38BFC331" w14:textId="1FF60E10" w:rsidR="001913CB" w:rsidRPr="001913CB" w:rsidRDefault="001913CB" w:rsidP="001913CB">
      <w:pPr>
        <w:pStyle w:val="ListParagraph"/>
        <w:numPr>
          <w:ilvl w:val="0"/>
          <w:numId w:val="27"/>
        </w:numPr>
        <w:autoSpaceDE w:val="0"/>
        <w:autoSpaceDN w:val="0"/>
        <w:adjustRightInd w:val="0"/>
        <w:rPr>
          <w:rFonts w:ascii="Verdana" w:hAnsi="Verdana" w:cs="Times New Roman"/>
          <w:bCs/>
          <w:color w:val="000000"/>
          <w:sz w:val="20"/>
          <w:szCs w:val="20"/>
        </w:rPr>
      </w:pPr>
      <w:r w:rsidRPr="001913CB">
        <w:rPr>
          <w:rFonts w:ascii="Verdana" w:hAnsi="Verdana" w:cs="Times New Roman"/>
          <w:b/>
          <w:bCs/>
          <w:color w:val="070707"/>
          <w:sz w:val="20"/>
          <w:szCs w:val="20"/>
        </w:rPr>
        <w:t>Work Done:</w:t>
      </w:r>
    </w:p>
    <w:p w14:paraId="2FAFF9BB" w14:textId="77777777" w:rsidR="001913CB" w:rsidRPr="003E6A8A" w:rsidRDefault="001913CB" w:rsidP="001913CB">
      <w:pPr>
        <w:autoSpaceDE w:val="0"/>
        <w:autoSpaceDN w:val="0"/>
        <w:adjustRightInd w:val="0"/>
        <w:rPr>
          <w:rFonts w:ascii="Verdana" w:hAnsi="Verdana" w:cs="Times New Roman"/>
          <w:b/>
          <w:bCs/>
          <w:color w:val="202020"/>
        </w:rPr>
      </w:pPr>
    </w:p>
    <w:tbl>
      <w:tblPr>
        <w:tblStyle w:val="TableGrid"/>
        <w:tblW w:w="140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10345"/>
        <w:gridCol w:w="1825"/>
        <w:gridCol w:w="1505"/>
      </w:tblGrid>
      <w:tr w:rsidR="001913CB" w:rsidRPr="003E6A8A" w14:paraId="05A66274" w14:textId="77777777" w:rsidTr="001913CB">
        <w:trPr>
          <w:cnfStyle w:val="100000000000" w:firstRow="1" w:lastRow="0" w:firstColumn="0" w:lastColumn="0" w:oddVBand="0" w:evenVBand="0" w:oddHBand="0" w:evenHBand="0" w:firstRowFirstColumn="0" w:firstRowLastColumn="0" w:lastRowFirstColumn="0" w:lastRowLastColumn="0"/>
          <w:tblHeader/>
        </w:trPr>
        <w:tc>
          <w:tcPr>
            <w:tcW w:w="3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0D0C46FD" w14:textId="77777777" w:rsidR="001913CB" w:rsidRPr="003E6A8A" w:rsidRDefault="001913CB" w:rsidP="001F0948">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w:t>
            </w:r>
          </w:p>
        </w:tc>
        <w:tc>
          <w:tcPr>
            <w:tcW w:w="103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2B0C1966" w14:textId="77777777" w:rsidR="001913CB" w:rsidRPr="003E6A8A" w:rsidRDefault="001913CB" w:rsidP="001F0948">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Audit step/Requirement</w:t>
            </w:r>
          </w:p>
        </w:tc>
        <w:tc>
          <w:tcPr>
            <w:tcW w:w="18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0A372E75" w14:textId="77777777" w:rsidR="001913CB" w:rsidRPr="003E6A8A" w:rsidRDefault="001913CB" w:rsidP="001F0948">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Performed? Y/N/NA</w:t>
            </w:r>
            <w:r w:rsidRPr="003E6A8A">
              <w:rPr>
                <w:rStyle w:val="FootnoteReference"/>
                <w:rFonts w:ascii="Verdana" w:hAnsi="Verdana" w:cs="Times New Roman"/>
                <w:b/>
                <w:bCs/>
                <w:sz w:val="20"/>
                <w:szCs w:val="20"/>
              </w:rPr>
              <w:footnoteReference w:id="1"/>
            </w:r>
          </w:p>
        </w:tc>
        <w:tc>
          <w:tcPr>
            <w:tcW w:w="15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01FDEE2A" w14:textId="77777777" w:rsidR="001913CB" w:rsidRPr="003E6A8A" w:rsidRDefault="001913CB" w:rsidP="001F0948">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Note</w:t>
            </w:r>
          </w:p>
        </w:tc>
      </w:tr>
      <w:tr w:rsidR="001913CB" w:rsidRPr="003E6A8A" w14:paraId="63408E65" w14:textId="77777777" w:rsidTr="001913CB">
        <w:tc>
          <w:tcPr>
            <w:tcW w:w="355" w:type="dxa"/>
          </w:tcPr>
          <w:p w14:paraId="5B1BC186" w14:textId="77777777" w:rsidR="001913CB" w:rsidRPr="003E6A8A" w:rsidRDefault="001913CB" w:rsidP="001F0948">
            <w:pPr>
              <w:pStyle w:val="ListBullet"/>
              <w:numPr>
                <w:ilvl w:val="0"/>
                <w:numId w:val="0"/>
              </w:numPr>
              <w:rPr>
                <w:rFonts w:ascii="Verdana" w:hAnsi="Verdana"/>
              </w:rPr>
            </w:pPr>
            <w:r w:rsidRPr="003E6A8A">
              <w:rPr>
                <w:rFonts w:ascii="Verdana" w:hAnsi="Verdana"/>
              </w:rPr>
              <w:t>1</w:t>
            </w:r>
          </w:p>
        </w:tc>
        <w:tc>
          <w:tcPr>
            <w:tcW w:w="10345" w:type="dxa"/>
          </w:tcPr>
          <w:p w14:paraId="52DC2A27" w14:textId="48F8EB33" w:rsidR="001913CB" w:rsidRPr="003E6A8A" w:rsidRDefault="001913CB" w:rsidP="001F0948">
            <w:pPr>
              <w:pStyle w:val="ListBullet"/>
              <w:numPr>
                <w:ilvl w:val="0"/>
                <w:numId w:val="0"/>
              </w:numPr>
              <w:rPr>
                <w:rFonts w:ascii="Verdana" w:hAnsi="Verdana"/>
              </w:rPr>
            </w:pPr>
            <w:r w:rsidRPr="003E6A8A">
              <w:rPr>
                <w:rFonts w:ascii="Verdana" w:hAnsi="Verdana"/>
              </w:rPr>
              <w:t xml:space="preserve">Test all expenditures (costs) covered by the grant and declared in the </w:t>
            </w:r>
            <w:r w:rsidR="001F0948">
              <w:rPr>
                <w:rFonts w:ascii="Verdana" w:hAnsi="Verdana"/>
              </w:rPr>
              <w:t>i</w:t>
            </w:r>
            <w:r w:rsidRPr="003E6A8A">
              <w:rPr>
                <w:rFonts w:ascii="Verdana" w:hAnsi="Verdana"/>
              </w:rPr>
              <w:t xml:space="preserve">nterim and </w:t>
            </w:r>
            <w:r w:rsidR="001F0948">
              <w:rPr>
                <w:rFonts w:ascii="Verdana" w:hAnsi="Verdana"/>
              </w:rPr>
              <w:t>f</w:t>
            </w:r>
            <w:r w:rsidRPr="003E6A8A">
              <w:rPr>
                <w:rFonts w:ascii="Verdana" w:hAnsi="Verdana"/>
              </w:rPr>
              <w:t xml:space="preserve">inal </w:t>
            </w:r>
            <w:r w:rsidR="001F0948">
              <w:rPr>
                <w:rFonts w:ascii="Verdana" w:hAnsi="Verdana"/>
              </w:rPr>
              <w:t>s</w:t>
            </w:r>
            <w:r w:rsidRPr="003E6A8A">
              <w:rPr>
                <w:rFonts w:ascii="Verdana" w:hAnsi="Verdana"/>
              </w:rPr>
              <w:t>ettlement  (no sampling used)</w:t>
            </w:r>
          </w:p>
        </w:tc>
        <w:tc>
          <w:tcPr>
            <w:tcW w:w="1825" w:type="dxa"/>
          </w:tcPr>
          <w:p w14:paraId="634A0E15" w14:textId="77777777" w:rsidR="001913CB" w:rsidRPr="003E6A8A" w:rsidRDefault="001913CB" w:rsidP="001F0948">
            <w:pPr>
              <w:pStyle w:val="ListBullet"/>
              <w:numPr>
                <w:ilvl w:val="0"/>
                <w:numId w:val="0"/>
              </w:numPr>
              <w:ind w:left="360"/>
              <w:rPr>
                <w:rFonts w:ascii="Verdana" w:hAnsi="Verdana"/>
              </w:rPr>
            </w:pPr>
          </w:p>
        </w:tc>
        <w:tc>
          <w:tcPr>
            <w:tcW w:w="1505" w:type="dxa"/>
          </w:tcPr>
          <w:p w14:paraId="2B0B1565" w14:textId="77777777" w:rsidR="001913CB" w:rsidRPr="003E6A8A" w:rsidRDefault="001913CB" w:rsidP="001F0948">
            <w:pPr>
              <w:pStyle w:val="ListBullet"/>
              <w:numPr>
                <w:ilvl w:val="0"/>
                <w:numId w:val="0"/>
              </w:numPr>
              <w:ind w:left="360"/>
              <w:rPr>
                <w:rFonts w:ascii="Verdana" w:hAnsi="Verdana"/>
              </w:rPr>
            </w:pPr>
          </w:p>
        </w:tc>
      </w:tr>
      <w:tr w:rsidR="001913CB" w:rsidRPr="003E6A8A" w14:paraId="2D9CE0D0" w14:textId="77777777" w:rsidTr="001913CB">
        <w:tc>
          <w:tcPr>
            <w:tcW w:w="355" w:type="dxa"/>
          </w:tcPr>
          <w:p w14:paraId="3EA39634" w14:textId="77777777" w:rsidR="001913CB" w:rsidRPr="003E6A8A" w:rsidRDefault="001913CB" w:rsidP="001F0948">
            <w:pPr>
              <w:pStyle w:val="ListBullet"/>
              <w:numPr>
                <w:ilvl w:val="0"/>
                <w:numId w:val="0"/>
              </w:numPr>
              <w:rPr>
                <w:rFonts w:ascii="Verdana" w:hAnsi="Verdana"/>
              </w:rPr>
            </w:pPr>
            <w:r w:rsidRPr="003E6A8A">
              <w:rPr>
                <w:rFonts w:ascii="Verdana" w:hAnsi="Verdana"/>
              </w:rPr>
              <w:t>2</w:t>
            </w:r>
          </w:p>
        </w:tc>
        <w:tc>
          <w:tcPr>
            <w:tcW w:w="10345" w:type="dxa"/>
          </w:tcPr>
          <w:p w14:paraId="24C616BE" w14:textId="1063EE27" w:rsidR="001913CB" w:rsidRPr="003E6A8A" w:rsidRDefault="001913CB" w:rsidP="001F0948">
            <w:pPr>
              <w:pStyle w:val="ListBullet"/>
              <w:numPr>
                <w:ilvl w:val="0"/>
                <w:numId w:val="0"/>
              </w:numPr>
              <w:rPr>
                <w:rFonts w:ascii="Verdana" w:hAnsi="Verdana"/>
              </w:rPr>
            </w:pPr>
            <w:r w:rsidRPr="003E6A8A">
              <w:rPr>
                <w:rFonts w:ascii="Verdana" w:hAnsi="Verdana"/>
              </w:rPr>
              <w:t xml:space="preserve">Verify conformity with the relevant national legislation of the </w:t>
            </w:r>
            <w:r w:rsidR="001F0948">
              <w:rPr>
                <w:rFonts w:ascii="Verdana" w:hAnsi="Verdana"/>
              </w:rPr>
              <w:t>-B</w:t>
            </w:r>
            <w:r w:rsidRPr="003E6A8A">
              <w:rPr>
                <w:rFonts w:ascii="Verdana" w:hAnsi="Verdana"/>
              </w:rPr>
              <w:t>eneficiary (</w:t>
            </w:r>
            <w:proofErr w:type="spellStart"/>
            <w:r w:rsidRPr="003E6A8A">
              <w:rPr>
                <w:rFonts w:ascii="Verdana" w:hAnsi="Verdana"/>
              </w:rPr>
              <w:t>eg</w:t>
            </w:r>
            <w:r>
              <w:rPr>
                <w:rFonts w:ascii="Verdana" w:hAnsi="Verdana"/>
              </w:rPr>
              <w:t>.</w:t>
            </w:r>
            <w:proofErr w:type="spellEnd"/>
            <w:r w:rsidRPr="003E6A8A">
              <w:rPr>
                <w:rFonts w:ascii="Verdana" w:hAnsi="Verdana"/>
              </w:rPr>
              <w:t xml:space="preserve"> accounting law)</w:t>
            </w:r>
          </w:p>
        </w:tc>
        <w:tc>
          <w:tcPr>
            <w:tcW w:w="1825" w:type="dxa"/>
          </w:tcPr>
          <w:p w14:paraId="5E63464C" w14:textId="77777777" w:rsidR="001913CB" w:rsidRPr="003E6A8A" w:rsidRDefault="001913CB" w:rsidP="001F0948">
            <w:pPr>
              <w:pStyle w:val="ListBullet"/>
              <w:numPr>
                <w:ilvl w:val="0"/>
                <w:numId w:val="0"/>
              </w:numPr>
              <w:ind w:left="360"/>
              <w:rPr>
                <w:rFonts w:ascii="Verdana" w:hAnsi="Verdana"/>
              </w:rPr>
            </w:pPr>
          </w:p>
        </w:tc>
        <w:tc>
          <w:tcPr>
            <w:tcW w:w="1505" w:type="dxa"/>
          </w:tcPr>
          <w:p w14:paraId="218CB232" w14:textId="77777777" w:rsidR="001913CB" w:rsidRPr="003E6A8A" w:rsidRDefault="001913CB" w:rsidP="001F0948">
            <w:pPr>
              <w:pStyle w:val="ListBullet"/>
              <w:numPr>
                <w:ilvl w:val="0"/>
                <w:numId w:val="0"/>
              </w:numPr>
              <w:ind w:left="360"/>
              <w:rPr>
                <w:rFonts w:ascii="Verdana" w:hAnsi="Verdana"/>
              </w:rPr>
            </w:pPr>
          </w:p>
        </w:tc>
      </w:tr>
      <w:tr w:rsidR="001913CB" w:rsidRPr="003E6A8A" w14:paraId="16749829" w14:textId="77777777" w:rsidTr="001913CB">
        <w:tc>
          <w:tcPr>
            <w:tcW w:w="355" w:type="dxa"/>
          </w:tcPr>
          <w:p w14:paraId="76694B53" w14:textId="77777777" w:rsidR="001913CB" w:rsidRPr="003E6A8A" w:rsidRDefault="001913CB" w:rsidP="00CD49CB">
            <w:pPr>
              <w:pStyle w:val="ListBullet2"/>
            </w:pPr>
            <w:r w:rsidRPr="003E6A8A">
              <w:t>3</w:t>
            </w:r>
          </w:p>
        </w:tc>
        <w:tc>
          <w:tcPr>
            <w:tcW w:w="10345" w:type="dxa"/>
          </w:tcPr>
          <w:p w14:paraId="407B9F18" w14:textId="27694D19" w:rsidR="001913CB" w:rsidRPr="003E6A8A" w:rsidRDefault="001913CB" w:rsidP="00CD49CB">
            <w:pPr>
              <w:pStyle w:val="ListBullet2"/>
              <w:rPr>
                <w:lang w:val="en-GB"/>
              </w:rPr>
            </w:pPr>
            <w:r w:rsidRPr="003E6A8A">
              <w:t>Verify conformity with t</w:t>
            </w:r>
            <w:r w:rsidRPr="003E6A8A">
              <w:rPr>
                <w:lang w:val="en-GB"/>
              </w:rPr>
              <w:t xml:space="preserve">he contracted financial conditions stipulated in the </w:t>
            </w:r>
            <w:r w:rsidR="001F0948">
              <w:rPr>
                <w:lang w:val="en-GB"/>
              </w:rPr>
              <w:t>G</w:t>
            </w:r>
            <w:r w:rsidRPr="003E6A8A">
              <w:rPr>
                <w:lang w:val="en-GB"/>
              </w:rPr>
              <w:t xml:space="preserve">rant </w:t>
            </w:r>
            <w:r w:rsidR="001F0948">
              <w:rPr>
                <w:lang w:val="en-GB"/>
              </w:rPr>
              <w:t>C</w:t>
            </w:r>
            <w:r w:rsidRPr="003E6A8A">
              <w:rPr>
                <w:lang w:val="en-GB"/>
              </w:rPr>
              <w:t xml:space="preserve">ontract (and the </w:t>
            </w:r>
            <w:r w:rsidR="001F0948">
              <w:rPr>
                <w:lang w:val="en-GB"/>
              </w:rPr>
              <w:t>G</w:t>
            </w:r>
            <w:r w:rsidRPr="003E6A8A">
              <w:rPr>
                <w:lang w:val="en-GB"/>
              </w:rPr>
              <w:t xml:space="preserve">rant </w:t>
            </w:r>
            <w:r w:rsidR="001F0948">
              <w:rPr>
                <w:lang w:val="en-GB"/>
              </w:rPr>
              <w:t>G</w:t>
            </w:r>
            <w:r w:rsidRPr="003E6A8A">
              <w:rPr>
                <w:lang w:val="en-GB"/>
              </w:rPr>
              <w:t>uidelines</w:t>
            </w:r>
          </w:p>
        </w:tc>
        <w:tc>
          <w:tcPr>
            <w:tcW w:w="1825" w:type="dxa"/>
          </w:tcPr>
          <w:p w14:paraId="619343F1" w14:textId="77777777" w:rsidR="001913CB" w:rsidRPr="003E6A8A" w:rsidRDefault="001913CB" w:rsidP="00CD49CB">
            <w:pPr>
              <w:pStyle w:val="ListBullet2"/>
              <w:rPr>
                <w:lang w:val="en-GB"/>
              </w:rPr>
            </w:pPr>
          </w:p>
        </w:tc>
        <w:tc>
          <w:tcPr>
            <w:tcW w:w="1505" w:type="dxa"/>
          </w:tcPr>
          <w:p w14:paraId="69A267CA" w14:textId="77777777" w:rsidR="001913CB" w:rsidRPr="003E6A8A" w:rsidRDefault="001913CB" w:rsidP="00CD49CB">
            <w:pPr>
              <w:pStyle w:val="ListBullet2"/>
              <w:rPr>
                <w:lang w:val="en-GB"/>
              </w:rPr>
            </w:pPr>
          </w:p>
        </w:tc>
      </w:tr>
      <w:tr w:rsidR="00F43183" w:rsidRPr="003E6A8A" w14:paraId="79FC6AAD" w14:textId="77777777" w:rsidTr="001913CB">
        <w:tc>
          <w:tcPr>
            <w:tcW w:w="355" w:type="dxa"/>
          </w:tcPr>
          <w:p w14:paraId="631035F4" w14:textId="63957797" w:rsidR="00F43183" w:rsidRPr="003E6A8A" w:rsidRDefault="00F43183" w:rsidP="00CD49CB">
            <w:pPr>
              <w:pStyle w:val="ListBullet2"/>
            </w:pPr>
            <w:r>
              <w:t>4</w:t>
            </w:r>
          </w:p>
        </w:tc>
        <w:tc>
          <w:tcPr>
            <w:tcW w:w="10345" w:type="dxa"/>
          </w:tcPr>
          <w:p w14:paraId="7FF2CE18" w14:textId="29BD35BB" w:rsidR="00F43183" w:rsidRPr="003E6A8A" w:rsidRDefault="004E1329" w:rsidP="00CD49CB">
            <w:pPr>
              <w:pStyle w:val="ListBullet2"/>
            </w:pPr>
            <w:r w:rsidRPr="00CD49CB">
              <w:t xml:space="preserve">Verify </w:t>
            </w:r>
            <w:r w:rsidR="00D615C1" w:rsidRPr="00CD49CB">
              <w:t xml:space="preserve">the status of the grantee as a </w:t>
            </w:r>
            <w:r w:rsidR="008D29F1" w:rsidRPr="00CD49CB">
              <w:t xml:space="preserve">registered </w:t>
            </w:r>
            <w:r w:rsidR="00D615C1" w:rsidRPr="00CD49CB">
              <w:t xml:space="preserve">VAT payer </w:t>
            </w:r>
            <w:r w:rsidR="008D29F1" w:rsidRPr="00CD49CB">
              <w:t>(</w:t>
            </w:r>
            <w:r w:rsidR="00D615C1" w:rsidRPr="00CD49CB">
              <w:t>or</w:t>
            </w:r>
            <w:r w:rsidR="008D29F1" w:rsidRPr="00CD49CB">
              <w:t xml:space="preserve"> </w:t>
            </w:r>
            <w:r w:rsidR="00D615C1" w:rsidRPr="00CD49CB">
              <w:t>non-payer</w:t>
            </w:r>
            <w:r w:rsidR="008D29F1" w:rsidRPr="00CD49CB">
              <w:t>)</w:t>
            </w:r>
            <w:r w:rsidR="00D615C1" w:rsidRPr="00CD49CB">
              <w:t xml:space="preserve"> and </w:t>
            </w:r>
            <w:r w:rsidR="00904538" w:rsidRPr="00CD49CB">
              <w:t>assess their eligibility for VAT compensation by the Fund</w:t>
            </w:r>
          </w:p>
        </w:tc>
        <w:tc>
          <w:tcPr>
            <w:tcW w:w="1825" w:type="dxa"/>
          </w:tcPr>
          <w:p w14:paraId="20D9639C" w14:textId="77777777" w:rsidR="00F43183" w:rsidRPr="003E6A8A" w:rsidRDefault="00F43183" w:rsidP="00CD49CB">
            <w:pPr>
              <w:pStyle w:val="ListBullet2"/>
              <w:rPr>
                <w:lang w:val="en-GB"/>
              </w:rPr>
            </w:pPr>
          </w:p>
        </w:tc>
        <w:tc>
          <w:tcPr>
            <w:tcW w:w="1505" w:type="dxa"/>
          </w:tcPr>
          <w:p w14:paraId="4ECF18EF" w14:textId="77777777" w:rsidR="00F43183" w:rsidRPr="003E6A8A" w:rsidRDefault="00F43183" w:rsidP="00CD49CB">
            <w:pPr>
              <w:pStyle w:val="ListBullet2"/>
              <w:rPr>
                <w:lang w:val="en-GB"/>
              </w:rPr>
            </w:pPr>
          </w:p>
        </w:tc>
      </w:tr>
      <w:tr w:rsidR="001913CB" w:rsidRPr="003E6A8A" w14:paraId="42CC645F" w14:textId="77777777" w:rsidTr="001913CB">
        <w:tc>
          <w:tcPr>
            <w:tcW w:w="355" w:type="dxa"/>
          </w:tcPr>
          <w:p w14:paraId="11FE2654" w14:textId="10365E7E" w:rsidR="001913CB" w:rsidRPr="003E6A8A" w:rsidRDefault="00F43183" w:rsidP="001F0948">
            <w:pPr>
              <w:pStyle w:val="ListBullet"/>
              <w:numPr>
                <w:ilvl w:val="0"/>
                <w:numId w:val="0"/>
              </w:numPr>
              <w:rPr>
                <w:rFonts w:ascii="Verdana" w:hAnsi="Verdana"/>
              </w:rPr>
            </w:pPr>
            <w:r>
              <w:rPr>
                <w:rFonts w:ascii="Verdana" w:hAnsi="Verdana"/>
              </w:rPr>
              <w:t>5</w:t>
            </w:r>
          </w:p>
        </w:tc>
        <w:tc>
          <w:tcPr>
            <w:tcW w:w="10345" w:type="dxa"/>
          </w:tcPr>
          <w:p w14:paraId="5E11184A" w14:textId="77777777" w:rsidR="001913CB" w:rsidRPr="003E6A8A" w:rsidRDefault="001913CB" w:rsidP="001F0948">
            <w:pPr>
              <w:pStyle w:val="ListBullet"/>
              <w:numPr>
                <w:ilvl w:val="0"/>
                <w:numId w:val="0"/>
              </w:numPr>
              <w:rPr>
                <w:rFonts w:ascii="Verdana" w:hAnsi="Verdana"/>
              </w:rPr>
            </w:pPr>
            <w:r w:rsidRPr="003E6A8A">
              <w:rPr>
                <w:rFonts w:ascii="Verdana" w:hAnsi="Verdana"/>
              </w:rPr>
              <w:t>Check double financing – that the project expenditures were not financed from other projects implemented by the Beneficiary</w:t>
            </w:r>
          </w:p>
        </w:tc>
        <w:tc>
          <w:tcPr>
            <w:tcW w:w="1825" w:type="dxa"/>
          </w:tcPr>
          <w:p w14:paraId="50DDBC6D" w14:textId="77777777" w:rsidR="001913CB" w:rsidRPr="003E6A8A" w:rsidRDefault="001913CB" w:rsidP="001F0948">
            <w:pPr>
              <w:ind w:left="360"/>
              <w:rPr>
                <w:rFonts w:ascii="Verdana" w:hAnsi="Verdana"/>
              </w:rPr>
            </w:pPr>
          </w:p>
        </w:tc>
        <w:tc>
          <w:tcPr>
            <w:tcW w:w="1505" w:type="dxa"/>
          </w:tcPr>
          <w:p w14:paraId="659290DD" w14:textId="77777777" w:rsidR="001913CB" w:rsidRPr="003E6A8A" w:rsidRDefault="001913CB" w:rsidP="001F0948">
            <w:pPr>
              <w:ind w:left="360"/>
              <w:rPr>
                <w:rFonts w:ascii="Verdana" w:hAnsi="Verdana"/>
              </w:rPr>
            </w:pPr>
          </w:p>
        </w:tc>
      </w:tr>
      <w:tr w:rsidR="001913CB" w:rsidRPr="003E6A8A" w14:paraId="7DCDA23A" w14:textId="77777777" w:rsidTr="001913CB">
        <w:tc>
          <w:tcPr>
            <w:tcW w:w="355" w:type="dxa"/>
          </w:tcPr>
          <w:p w14:paraId="3633748B" w14:textId="240E6B95" w:rsidR="001913CB" w:rsidRPr="003E6A8A" w:rsidRDefault="00F43183" w:rsidP="001F0948">
            <w:pPr>
              <w:rPr>
                <w:rFonts w:ascii="Verdana" w:hAnsi="Verdana"/>
                <w:szCs w:val="18"/>
                <w:lang w:val="en-GB"/>
              </w:rPr>
            </w:pPr>
            <w:r>
              <w:rPr>
                <w:rFonts w:ascii="Verdana" w:hAnsi="Verdana"/>
                <w:szCs w:val="18"/>
                <w:lang w:val="en-GB"/>
              </w:rPr>
              <w:t>6</w:t>
            </w:r>
          </w:p>
        </w:tc>
        <w:tc>
          <w:tcPr>
            <w:tcW w:w="10345" w:type="dxa"/>
          </w:tcPr>
          <w:p w14:paraId="6F0ABEC7" w14:textId="77777777" w:rsidR="001913CB" w:rsidRPr="003E6A8A" w:rsidRDefault="001913CB" w:rsidP="001F0948">
            <w:pPr>
              <w:rPr>
                <w:rFonts w:ascii="Verdana" w:hAnsi="Verdana"/>
                <w:szCs w:val="18"/>
                <w:lang w:val="en-GB"/>
              </w:rPr>
            </w:pPr>
            <w:r w:rsidRPr="003E6A8A">
              <w:rPr>
                <w:rFonts w:ascii="Verdana" w:hAnsi="Verdana"/>
                <w:szCs w:val="18"/>
                <w:lang w:val="en-GB"/>
              </w:rPr>
              <w:t>Verify the following:</w:t>
            </w:r>
          </w:p>
        </w:tc>
        <w:tc>
          <w:tcPr>
            <w:tcW w:w="1825" w:type="dxa"/>
          </w:tcPr>
          <w:p w14:paraId="0A45C0AC" w14:textId="77777777" w:rsidR="001913CB" w:rsidRPr="003E6A8A" w:rsidRDefault="001913CB" w:rsidP="001F0948">
            <w:pPr>
              <w:ind w:left="360"/>
              <w:rPr>
                <w:rFonts w:ascii="Verdana" w:hAnsi="Verdana"/>
                <w:szCs w:val="18"/>
                <w:lang w:val="en-GB"/>
              </w:rPr>
            </w:pPr>
          </w:p>
        </w:tc>
        <w:tc>
          <w:tcPr>
            <w:tcW w:w="1505" w:type="dxa"/>
          </w:tcPr>
          <w:p w14:paraId="30FD3B03" w14:textId="77777777" w:rsidR="001913CB" w:rsidRPr="003E6A8A" w:rsidRDefault="001913CB" w:rsidP="001F0948">
            <w:pPr>
              <w:ind w:left="360"/>
              <w:rPr>
                <w:rFonts w:ascii="Verdana" w:hAnsi="Verdana"/>
                <w:szCs w:val="18"/>
                <w:lang w:val="en-GB"/>
              </w:rPr>
            </w:pPr>
          </w:p>
        </w:tc>
      </w:tr>
      <w:tr w:rsidR="001913CB" w:rsidRPr="003E6A8A" w14:paraId="16E263A3" w14:textId="77777777" w:rsidTr="001913CB">
        <w:tc>
          <w:tcPr>
            <w:tcW w:w="355" w:type="dxa"/>
          </w:tcPr>
          <w:p w14:paraId="54D5777E" w14:textId="77777777" w:rsidR="001913CB" w:rsidRPr="003E6A8A" w:rsidRDefault="001913CB" w:rsidP="001F0948">
            <w:pPr>
              <w:pStyle w:val="ListBullet"/>
              <w:numPr>
                <w:ilvl w:val="0"/>
                <w:numId w:val="0"/>
              </w:numPr>
              <w:rPr>
                <w:rFonts w:ascii="Verdana" w:hAnsi="Verdana"/>
              </w:rPr>
            </w:pPr>
          </w:p>
        </w:tc>
        <w:tc>
          <w:tcPr>
            <w:tcW w:w="10345" w:type="dxa"/>
          </w:tcPr>
          <w:p w14:paraId="1C55F052" w14:textId="77777777" w:rsidR="001913CB" w:rsidRPr="003E6A8A" w:rsidRDefault="001913CB" w:rsidP="001F0948">
            <w:pPr>
              <w:pStyle w:val="ListBullet"/>
              <w:rPr>
                <w:rFonts w:ascii="Verdana" w:hAnsi="Verdana"/>
              </w:rPr>
            </w:pPr>
            <w:r w:rsidRPr="003E6A8A">
              <w:rPr>
                <w:rFonts w:ascii="Verdana" w:hAnsi="Verdana"/>
              </w:rPr>
              <w:t>declared expenditures are actual;</w:t>
            </w:r>
          </w:p>
        </w:tc>
        <w:tc>
          <w:tcPr>
            <w:tcW w:w="1825" w:type="dxa"/>
          </w:tcPr>
          <w:p w14:paraId="27F14192" w14:textId="77777777" w:rsidR="001913CB" w:rsidRPr="003E6A8A" w:rsidRDefault="001913CB" w:rsidP="001F0948">
            <w:pPr>
              <w:pStyle w:val="ListBullet"/>
              <w:numPr>
                <w:ilvl w:val="0"/>
                <w:numId w:val="0"/>
              </w:numPr>
              <w:ind w:left="360"/>
              <w:rPr>
                <w:rFonts w:ascii="Verdana" w:hAnsi="Verdana"/>
              </w:rPr>
            </w:pPr>
          </w:p>
        </w:tc>
        <w:tc>
          <w:tcPr>
            <w:tcW w:w="1505" w:type="dxa"/>
          </w:tcPr>
          <w:p w14:paraId="6D6D5853" w14:textId="77777777" w:rsidR="001913CB" w:rsidRPr="003E6A8A" w:rsidRDefault="001913CB" w:rsidP="001F0948">
            <w:pPr>
              <w:pStyle w:val="ListBullet"/>
              <w:numPr>
                <w:ilvl w:val="0"/>
                <w:numId w:val="0"/>
              </w:numPr>
              <w:ind w:left="360"/>
              <w:rPr>
                <w:rFonts w:ascii="Verdana" w:hAnsi="Verdana"/>
              </w:rPr>
            </w:pPr>
          </w:p>
        </w:tc>
      </w:tr>
      <w:tr w:rsidR="001913CB" w:rsidRPr="003E6A8A" w14:paraId="094BCE05" w14:textId="77777777" w:rsidTr="001913CB">
        <w:tc>
          <w:tcPr>
            <w:tcW w:w="355" w:type="dxa"/>
          </w:tcPr>
          <w:p w14:paraId="061524E2" w14:textId="77777777" w:rsidR="001913CB" w:rsidRPr="003E6A8A" w:rsidRDefault="001913CB" w:rsidP="001F0948">
            <w:pPr>
              <w:pStyle w:val="ListBullet"/>
              <w:numPr>
                <w:ilvl w:val="0"/>
                <w:numId w:val="0"/>
              </w:numPr>
              <w:rPr>
                <w:rFonts w:ascii="Verdana" w:hAnsi="Verdana"/>
              </w:rPr>
            </w:pPr>
          </w:p>
        </w:tc>
        <w:tc>
          <w:tcPr>
            <w:tcW w:w="10345" w:type="dxa"/>
          </w:tcPr>
          <w:p w14:paraId="74349C35" w14:textId="057108E6" w:rsidR="001913CB" w:rsidRPr="003E6A8A" w:rsidRDefault="001913CB" w:rsidP="001F0948">
            <w:pPr>
              <w:pStyle w:val="ListBullet"/>
              <w:rPr>
                <w:rFonts w:ascii="Verdana" w:hAnsi="Verdana"/>
              </w:rPr>
            </w:pPr>
            <w:r w:rsidRPr="003E6A8A">
              <w:rPr>
                <w:rFonts w:ascii="Verdana" w:hAnsi="Verdana"/>
              </w:rPr>
              <w:t>they are incurred and paid during the duration of the implementation period as specified in the </w:t>
            </w:r>
            <w:r w:rsidR="001F0948">
              <w:rPr>
                <w:rFonts w:ascii="Verdana" w:hAnsi="Verdana"/>
              </w:rPr>
              <w:t>G</w:t>
            </w:r>
            <w:r w:rsidRPr="003E6A8A">
              <w:rPr>
                <w:rFonts w:ascii="Verdana" w:hAnsi="Verdana"/>
              </w:rPr>
              <w:t xml:space="preserve">rant </w:t>
            </w:r>
            <w:r w:rsidR="001F0948">
              <w:rPr>
                <w:rFonts w:ascii="Verdana" w:hAnsi="Verdana"/>
              </w:rPr>
              <w:t>C</w:t>
            </w:r>
            <w:r w:rsidRPr="003E6A8A">
              <w:rPr>
                <w:rFonts w:ascii="Verdana" w:hAnsi="Verdana"/>
              </w:rPr>
              <w:t>ontract (with the exception of costs relating to the audit report)</w:t>
            </w:r>
            <w:r w:rsidRPr="00E87D29">
              <w:rPr>
                <w:rFonts w:ascii="Verdana" w:hAnsi="Verdana"/>
                <w:vertAlign w:val="superscript"/>
              </w:rPr>
              <w:footnoteReference w:id="2"/>
            </w:r>
            <w:r w:rsidRPr="003E6A8A">
              <w:rPr>
                <w:rFonts w:ascii="Verdana" w:hAnsi="Verdana"/>
              </w:rPr>
              <w:t>;</w:t>
            </w:r>
          </w:p>
        </w:tc>
        <w:tc>
          <w:tcPr>
            <w:tcW w:w="1825" w:type="dxa"/>
          </w:tcPr>
          <w:p w14:paraId="2159A09B" w14:textId="77777777" w:rsidR="001913CB" w:rsidRPr="003E6A8A" w:rsidRDefault="001913CB" w:rsidP="001F0948">
            <w:pPr>
              <w:pStyle w:val="ListBullet"/>
              <w:numPr>
                <w:ilvl w:val="0"/>
                <w:numId w:val="0"/>
              </w:numPr>
              <w:ind w:left="360"/>
              <w:rPr>
                <w:rFonts w:ascii="Verdana" w:hAnsi="Verdana"/>
              </w:rPr>
            </w:pPr>
          </w:p>
        </w:tc>
        <w:tc>
          <w:tcPr>
            <w:tcW w:w="1505" w:type="dxa"/>
          </w:tcPr>
          <w:p w14:paraId="06731DD3" w14:textId="77777777" w:rsidR="001913CB" w:rsidRPr="003E6A8A" w:rsidRDefault="001913CB" w:rsidP="001F0948">
            <w:pPr>
              <w:pStyle w:val="ListBullet"/>
              <w:numPr>
                <w:ilvl w:val="0"/>
                <w:numId w:val="0"/>
              </w:numPr>
              <w:ind w:left="360"/>
              <w:rPr>
                <w:rFonts w:ascii="Verdana" w:hAnsi="Verdana"/>
              </w:rPr>
            </w:pPr>
          </w:p>
        </w:tc>
      </w:tr>
      <w:tr w:rsidR="001913CB" w:rsidRPr="003E6A8A" w14:paraId="010851EF" w14:textId="77777777" w:rsidTr="001913CB">
        <w:tc>
          <w:tcPr>
            <w:tcW w:w="355" w:type="dxa"/>
          </w:tcPr>
          <w:p w14:paraId="3C2B494B" w14:textId="77777777" w:rsidR="001913CB" w:rsidRPr="003E6A8A" w:rsidRDefault="001913CB" w:rsidP="001F0948">
            <w:pPr>
              <w:pStyle w:val="ListBullet"/>
              <w:numPr>
                <w:ilvl w:val="0"/>
                <w:numId w:val="0"/>
              </w:numPr>
              <w:rPr>
                <w:rFonts w:ascii="Verdana" w:hAnsi="Verdana"/>
              </w:rPr>
            </w:pPr>
          </w:p>
        </w:tc>
        <w:tc>
          <w:tcPr>
            <w:tcW w:w="10345" w:type="dxa"/>
          </w:tcPr>
          <w:p w14:paraId="63A793EB" w14:textId="5C6F10C8" w:rsidR="001913CB" w:rsidRPr="003E6A8A" w:rsidRDefault="001913CB" w:rsidP="001F0948">
            <w:pPr>
              <w:pStyle w:val="ListBullet"/>
              <w:rPr>
                <w:rFonts w:ascii="Verdana" w:hAnsi="Verdana"/>
              </w:rPr>
            </w:pPr>
            <w:r w:rsidRPr="003E6A8A">
              <w:rPr>
                <w:rFonts w:ascii="Verdana" w:hAnsi="Verdana"/>
              </w:rPr>
              <w:t xml:space="preserve">they are connected with the subject of the Project and are indicated in the contracted </w:t>
            </w:r>
            <w:r w:rsidR="001F0948">
              <w:rPr>
                <w:rFonts w:ascii="Verdana" w:hAnsi="Verdana"/>
              </w:rPr>
              <w:t>b</w:t>
            </w:r>
            <w:r w:rsidRPr="003E6A8A">
              <w:rPr>
                <w:rFonts w:ascii="Verdana" w:hAnsi="Verdana"/>
              </w:rPr>
              <w:t>udget;</w:t>
            </w:r>
          </w:p>
        </w:tc>
        <w:tc>
          <w:tcPr>
            <w:tcW w:w="1825" w:type="dxa"/>
          </w:tcPr>
          <w:p w14:paraId="2EE277C3" w14:textId="77777777" w:rsidR="001913CB" w:rsidRPr="003E6A8A" w:rsidRDefault="001913CB" w:rsidP="001F0948">
            <w:pPr>
              <w:pStyle w:val="ListBullet"/>
              <w:numPr>
                <w:ilvl w:val="0"/>
                <w:numId w:val="0"/>
              </w:numPr>
              <w:ind w:left="360"/>
              <w:rPr>
                <w:rFonts w:ascii="Verdana" w:hAnsi="Verdana"/>
              </w:rPr>
            </w:pPr>
          </w:p>
        </w:tc>
        <w:tc>
          <w:tcPr>
            <w:tcW w:w="1505" w:type="dxa"/>
          </w:tcPr>
          <w:p w14:paraId="41194211" w14:textId="77777777" w:rsidR="001913CB" w:rsidRPr="003E6A8A" w:rsidRDefault="001913CB" w:rsidP="001F0948">
            <w:pPr>
              <w:pStyle w:val="ListBullet"/>
              <w:numPr>
                <w:ilvl w:val="0"/>
                <w:numId w:val="0"/>
              </w:numPr>
              <w:ind w:left="360"/>
              <w:rPr>
                <w:rFonts w:ascii="Verdana" w:hAnsi="Verdana"/>
              </w:rPr>
            </w:pPr>
          </w:p>
        </w:tc>
      </w:tr>
      <w:tr w:rsidR="001913CB" w:rsidRPr="003E6A8A" w14:paraId="7C53EF91" w14:textId="77777777" w:rsidTr="001913CB">
        <w:tc>
          <w:tcPr>
            <w:tcW w:w="355" w:type="dxa"/>
          </w:tcPr>
          <w:p w14:paraId="373BE370" w14:textId="77777777" w:rsidR="001913CB" w:rsidRPr="003E6A8A" w:rsidRDefault="001913CB" w:rsidP="001F0948">
            <w:pPr>
              <w:pStyle w:val="ListBullet"/>
              <w:numPr>
                <w:ilvl w:val="0"/>
                <w:numId w:val="0"/>
              </w:numPr>
              <w:rPr>
                <w:rFonts w:ascii="Verdana" w:hAnsi="Verdana"/>
              </w:rPr>
            </w:pPr>
          </w:p>
        </w:tc>
        <w:tc>
          <w:tcPr>
            <w:tcW w:w="10345" w:type="dxa"/>
          </w:tcPr>
          <w:p w14:paraId="0F912093" w14:textId="27AE0AC8" w:rsidR="001913CB" w:rsidRPr="003E6A8A" w:rsidRDefault="001913CB" w:rsidP="001F0948">
            <w:pPr>
              <w:pStyle w:val="ListBullet"/>
              <w:rPr>
                <w:rFonts w:ascii="Verdana" w:hAnsi="Verdana"/>
              </w:rPr>
            </w:pPr>
            <w:r w:rsidRPr="003E6A8A">
              <w:rPr>
                <w:rFonts w:ascii="Verdana" w:hAnsi="Verdana"/>
              </w:rPr>
              <w:t>they are necessary for the implementation of the Project which is the subject of the grant;</w:t>
            </w:r>
          </w:p>
        </w:tc>
        <w:tc>
          <w:tcPr>
            <w:tcW w:w="1825" w:type="dxa"/>
          </w:tcPr>
          <w:p w14:paraId="4D9B6106" w14:textId="77777777" w:rsidR="001913CB" w:rsidRPr="003E6A8A" w:rsidRDefault="001913CB" w:rsidP="001F0948">
            <w:pPr>
              <w:pStyle w:val="ListBullet"/>
              <w:numPr>
                <w:ilvl w:val="0"/>
                <w:numId w:val="0"/>
              </w:numPr>
              <w:ind w:left="360"/>
              <w:rPr>
                <w:rFonts w:ascii="Verdana" w:hAnsi="Verdana"/>
              </w:rPr>
            </w:pPr>
          </w:p>
        </w:tc>
        <w:tc>
          <w:tcPr>
            <w:tcW w:w="1505" w:type="dxa"/>
          </w:tcPr>
          <w:p w14:paraId="5CE5F0CE" w14:textId="77777777" w:rsidR="001913CB" w:rsidRPr="003E6A8A" w:rsidRDefault="001913CB" w:rsidP="001F0948">
            <w:pPr>
              <w:pStyle w:val="ListBullet"/>
              <w:numPr>
                <w:ilvl w:val="0"/>
                <w:numId w:val="0"/>
              </w:numPr>
              <w:ind w:left="360"/>
              <w:rPr>
                <w:rFonts w:ascii="Verdana" w:hAnsi="Verdana"/>
              </w:rPr>
            </w:pPr>
          </w:p>
        </w:tc>
      </w:tr>
      <w:tr w:rsidR="001913CB" w:rsidRPr="003E6A8A" w14:paraId="33D82BF8" w14:textId="77777777" w:rsidTr="001913CB">
        <w:tc>
          <w:tcPr>
            <w:tcW w:w="355" w:type="dxa"/>
          </w:tcPr>
          <w:p w14:paraId="3B1A7A9F" w14:textId="77777777" w:rsidR="001913CB" w:rsidRPr="003E6A8A" w:rsidRDefault="001913CB" w:rsidP="001F0948">
            <w:pPr>
              <w:pStyle w:val="ListBullet"/>
              <w:numPr>
                <w:ilvl w:val="0"/>
                <w:numId w:val="0"/>
              </w:numPr>
              <w:rPr>
                <w:rFonts w:ascii="Verdana" w:hAnsi="Verdana"/>
              </w:rPr>
            </w:pPr>
          </w:p>
        </w:tc>
        <w:tc>
          <w:tcPr>
            <w:tcW w:w="10345" w:type="dxa"/>
          </w:tcPr>
          <w:p w14:paraId="01DF03CD" w14:textId="17DD74AD" w:rsidR="001913CB" w:rsidRPr="003E6A8A" w:rsidRDefault="001913CB" w:rsidP="001F0948">
            <w:pPr>
              <w:pStyle w:val="ListBullet"/>
              <w:rPr>
                <w:rFonts w:ascii="Verdana" w:hAnsi="Verdana"/>
              </w:rPr>
            </w:pPr>
            <w:r w:rsidRPr="003E6A8A">
              <w:rPr>
                <w:rFonts w:ascii="Verdana" w:hAnsi="Verdana"/>
              </w:rPr>
              <w:t>they are identifiable and verifiable and are recorded in the accounting records of the </w:t>
            </w:r>
            <w:r w:rsidR="001F0948">
              <w:rPr>
                <w:rFonts w:ascii="Verdana" w:hAnsi="Verdana"/>
              </w:rPr>
              <w:t>B</w:t>
            </w:r>
            <w:r w:rsidRPr="003E6A8A">
              <w:rPr>
                <w:rFonts w:ascii="Verdana" w:hAnsi="Verdana"/>
              </w:rPr>
              <w:t xml:space="preserve">eneficiary (at the latest by the date of the audit report – however, they have to relate to the Project Implementation Period) and determined according to the applicable accounting standards of the country where the </w:t>
            </w:r>
            <w:r w:rsidR="001F0948">
              <w:rPr>
                <w:rFonts w:ascii="Verdana" w:hAnsi="Verdana"/>
              </w:rPr>
              <w:t>B</w:t>
            </w:r>
            <w:r w:rsidRPr="003E6A8A">
              <w:rPr>
                <w:rFonts w:ascii="Verdana" w:hAnsi="Verdana"/>
              </w:rPr>
              <w:t xml:space="preserve">eneficiary is established and according to the usual accounting practices of the </w:t>
            </w:r>
            <w:r w:rsidR="001F0948">
              <w:rPr>
                <w:rFonts w:ascii="Verdana" w:hAnsi="Verdana"/>
              </w:rPr>
              <w:t>B</w:t>
            </w:r>
            <w:r w:rsidRPr="003E6A8A">
              <w:rPr>
                <w:rFonts w:ascii="Verdana" w:hAnsi="Verdana"/>
              </w:rPr>
              <w:t>eneficiary;</w:t>
            </w:r>
          </w:p>
        </w:tc>
        <w:tc>
          <w:tcPr>
            <w:tcW w:w="1825" w:type="dxa"/>
          </w:tcPr>
          <w:p w14:paraId="63A18160" w14:textId="77777777" w:rsidR="001913CB" w:rsidRPr="003E6A8A" w:rsidRDefault="001913CB" w:rsidP="001F0948">
            <w:pPr>
              <w:pStyle w:val="ListBullet"/>
              <w:numPr>
                <w:ilvl w:val="0"/>
                <w:numId w:val="0"/>
              </w:numPr>
              <w:ind w:left="360"/>
              <w:rPr>
                <w:rFonts w:ascii="Verdana" w:hAnsi="Verdana"/>
              </w:rPr>
            </w:pPr>
          </w:p>
        </w:tc>
        <w:tc>
          <w:tcPr>
            <w:tcW w:w="1505" w:type="dxa"/>
          </w:tcPr>
          <w:p w14:paraId="45ED18AB" w14:textId="77777777" w:rsidR="001913CB" w:rsidRPr="003E6A8A" w:rsidRDefault="001913CB" w:rsidP="001F0948">
            <w:pPr>
              <w:pStyle w:val="ListBullet"/>
              <w:numPr>
                <w:ilvl w:val="0"/>
                <w:numId w:val="0"/>
              </w:numPr>
              <w:ind w:left="360"/>
              <w:rPr>
                <w:rFonts w:ascii="Verdana" w:hAnsi="Verdana"/>
              </w:rPr>
            </w:pPr>
          </w:p>
        </w:tc>
      </w:tr>
      <w:tr w:rsidR="001913CB" w:rsidRPr="003E6A8A" w14:paraId="6C71F54E" w14:textId="77777777" w:rsidTr="001913CB">
        <w:tc>
          <w:tcPr>
            <w:tcW w:w="355" w:type="dxa"/>
          </w:tcPr>
          <w:p w14:paraId="071B8664" w14:textId="77777777" w:rsidR="001913CB" w:rsidRPr="003E6A8A" w:rsidRDefault="001913CB" w:rsidP="001F0948">
            <w:pPr>
              <w:pStyle w:val="ListBullet"/>
              <w:numPr>
                <w:ilvl w:val="0"/>
                <w:numId w:val="0"/>
              </w:numPr>
              <w:rPr>
                <w:rFonts w:ascii="Verdana" w:hAnsi="Verdana"/>
              </w:rPr>
            </w:pPr>
          </w:p>
        </w:tc>
        <w:tc>
          <w:tcPr>
            <w:tcW w:w="10345" w:type="dxa"/>
          </w:tcPr>
          <w:p w14:paraId="45FF4DC5" w14:textId="77777777" w:rsidR="001913CB" w:rsidRPr="003E6A8A" w:rsidRDefault="001913CB" w:rsidP="001F0948">
            <w:pPr>
              <w:pStyle w:val="ListBullet"/>
              <w:rPr>
                <w:rFonts w:ascii="Verdana" w:hAnsi="Verdana"/>
              </w:rPr>
            </w:pPr>
            <w:r w:rsidRPr="003E6A8A">
              <w:rPr>
                <w:rFonts w:ascii="Verdana" w:hAnsi="Verdana"/>
              </w:rPr>
              <w:t>they comply with the requirements of applicable tax and social legislation;</w:t>
            </w:r>
          </w:p>
        </w:tc>
        <w:tc>
          <w:tcPr>
            <w:tcW w:w="1825" w:type="dxa"/>
          </w:tcPr>
          <w:p w14:paraId="6E57552E" w14:textId="77777777" w:rsidR="001913CB" w:rsidRPr="003E6A8A" w:rsidRDefault="001913CB" w:rsidP="001F0948">
            <w:pPr>
              <w:pStyle w:val="ListBullet"/>
              <w:numPr>
                <w:ilvl w:val="0"/>
                <w:numId w:val="0"/>
              </w:numPr>
              <w:ind w:left="360"/>
              <w:rPr>
                <w:rFonts w:ascii="Verdana" w:hAnsi="Verdana"/>
              </w:rPr>
            </w:pPr>
          </w:p>
        </w:tc>
        <w:tc>
          <w:tcPr>
            <w:tcW w:w="1505" w:type="dxa"/>
          </w:tcPr>
          <w:p w14:paraId="276BC504" w14:textId="77777777" w:rsidR="001913CB" w:rsidRPr="003E6A8A" w:rsidRDefault="001913CB" w:rsidP="001F0948">
            <w:pPr>
              <w:pStyle w:val="ListBullet"/>
              <w:numPr>
                <w:ilvl w:val="0"/>
                <w:numId w:val="0"/>
              </w:numPr>
              <w:ind w:left="360"/>
              <w:rPr>
                <w:rFonts w:ascii="Verdana" w:hAnsi="Verdana"/>
              </w:rPr>
            </w:pPr>
          </w:p>
        </w:tc>
      </w:tr>
      <w:tr w:rsidR="001913CB" w:rsidRPr="003E6A8A" w14:paraId="5905C773" w14:textId="77777777" w:rsidTr="001913CB">
        <w:tc>
          <w:tcPr>
            <w:tcW w:w="355" w:type="dxa"/>
          </w:tcPr>
          <w:p w14:paraId="6ADC9CC8" w14:textId="77777777" w:rsidR="001913CB" w:rsidRPr="003E6A8A" w:rsidRDefault="001913CB" w:rsidP="001F0948">
            <w:pPr>
              <w:pStyle w:val="ListBullet"/>
              <w:numPr>
                <w:ilvl w:val="0"/>
                <w:numId w:val="0"/>
              </w:numPr>
              <w:rPr>
                <w:rFonts w:ascii="Verdana" w:hAnsi="Verdana"/>
              </w:rPr>
            </w:pPr>
          </w:p>
        </w:tc>
        <w:tc>
          <w:tcPr>
            <w:tcW w:w="10345" w:type="dxa"/>
          </w:tcPr>
          <w:p w14:paraId="2C7790C8" w14:textId="77777777" w:rsidR="001913CB" w:rsidRPr="003E6A8A" w:rsidRDefault="001913CB" w:rsidP="001F0948">
            <w:pPr>
              <w:pStyle w:val="ListBullet"/>
              <w:rPr>
                <w:rFonts w:ascii="Verdana" w:hAnsi="Verdana"/>
              </w:rPr>
            </w:pPr>
            <w:r w:rsidRPr="003E6A8A">
              <w:rPr>
                <w:rFonts w:ascii="Verdana" w:hAnsi="Verdana"/>
              </w:rPr>
              <w:t>they are reasonable, justified, and comply with the requirements of sound financial management, in particular regarding economy and efficiency;</w:t>
            </w:r>
          </w:p>
        </w:tc>
        <w:tc>
          <w:tcPr>
            <w:tcW w:w="1825" w:type="dxa"/>
          </w:tcPr>
          <w:p w14:paraId="01FA0055" w14:textId="77777777" w:rsidR="001913CB" w:rsidRPr="003E6A8A" w:rsidRDefault="001913CB" w:rsidP="001F0948">
            <w:pPr>
              <w:pStyle w:val="ListBullet"/>
              <w:numPr>
                <w:ilvl w:val="0"/>
                <w:numId w:val="0"/>
              </w:numPr>
              <w:ind w:left="360"/>
              <w:rPr>
                <w:rFonts w:ascii="Verdana" w:hAnsi="Verdana"/>
              </w:rPr>
            </w:pPr>
          </w:p>
        </w:tc>
        <w:tc>
          <w:tcPr>
            <w:tcW w:w="1505" w:type="dxa"/>
          </w:tcPr>
          <w:p w14:paraId="6EEB6EC7" w14:textId="77777777" w:rsidR="001913CB" w:rsidRPr="003E6A8A" w:rsidRDefault="001913CB" w:rsidP="001F0948">
            <w:pPr>
              <w:pStyle w:val="ListBullet"/>
              <w:numPr>
                <w:ilvl w:val="0"/>
                <w:numId w:val="0"/>
              </w:numPr>
              <w:ind w:left="360"/>
              <w:rPr>
                <w:rFonts w:ascii="Verdana" w:hAnsi="Verdana"/>
              </w:rPr>
            </w:pPr>
          </w:p>
        </w:tc>
      </w:tr>
      <w:tr w:rsidR="001913CB" w:rsidRPr="003E6A8A" w14:paraId="0990742D" w14:textId="77777777" w:rsidTr="001913CB">
        <w:tc>
          <w:tcPr>
            <w:tcW w:w="355" w:type="dxa"/>
          </w:tcPr>
          <w:p w14:paraId="4DC15A9F" w14:textId="77777777" w:rsidR="001913CB" w:rsidRPr="003E6A8A" w:rsidRDefault="001913CB" w:rsidP="001F0948">
            <w:pPr>
              <w:pStyle w:val="ListBullet"/>
              <w:numPr>
                <w:ilvl w:val="0"/>
                <w:numId w:val="0"/>
              </w:numPr>
              <w:rPr>
                <w:rFonts w:ascii="Verdana" w:hAnsi="Verdana"/>
              </w:rPr>
            </w:pPr>
          </w:p>
        </w:tc>
        <w:tc>
          <w:tcPr>
            <w:tcW w:w="10345" w:type="dxa"/>
          </w:tcPr>
          <w:p w14:paraId="0DBE696B" w14:textId="7D9E9C37" w:rsidR="001913CB" w:rsidRPr="003E6A8A" w:rsidRDefault="001913CB" w:rsidP="001F0948">
            <w:pPr>
              <w:pStyle w:val="ListBullet"/>
              <w:rPr>
                <w:rFonts w:ascii="Verdana" w:hAnsi="Verdana"/>
              </w:rPr>
            </w:pPr>
            <w:r w:rsidRPr="003E6A8A">
              <w:rPr>
                <w:rFonts w:ascii="Verdana" w:hAnsi="Verdana"/>
              </w:rPr>
              <w:t xml:space="preserve">they are exclusive of any non-eligible costs stated in the </w:t>
            </w:r>
            <w:r w:rsidR="001F0948">
              <w:rPr>
                <w:rFonts w:ascii="Verdana" w:hAnsi="Verdana"/>
              </w:rPr>
              <w:t>G</w:t>
            </w:r>
            <w:r w:rsidRPr="003E6A8A">
              <w:rPr>
                <w:rFonts w:ascii="Verdana" w:hAnsi="Verdana"/>
              </w:rPr>
              <w:t xml:space="preserve">rant </w:t>
            </w:r>
            <w:r w:rsidR="001F0948">
              <w:rPr>
                <w:rFonts w:ascii="Verdana" w:hAnsi="Verdana"/>
              </w:rPr>
              <w:t>C</w:t>
            </w:r>
            <w:r w:rsidRPr="003E6A8A">
              <w:rPr>
                <w:rFonts w:ascii="Verdana" w:hAnsi="Verdana"/>
              </w:rPr>
              <w:t>ontract.</w:t>
            </w:r>
          </w:p>
        </w:tc>
        <w:tc>
          <w:tcPr>
            <w:tcW w:w="1825" w:type="dxa"/>
          </w:tcPr>
          <w:p w14:paraId="5CDEF7AD" w14:textId="77777777" w:rsidR="001913CB" w:rsidRPr="003E6A8A" w:rsidRDefault="001913CB" w:rsidP="001F0948">
            <w:pPr>
              <w:pStyle w:val="ListBullet"/>
              <w:numPr>
                <w:ilvl w:val="0"/>
                <w:numId w:val="0"/>
              </w:numPr>
              <w:ind w:left="360"/>
              <w:rPr>
                <w:rFonts w:ascii="Verdana" w:hAnsi="Verdana"/>
              </w:rPr>
            </w:pPr>
          </w:p>
        </w:tc>
        <w:tc>
          <w:tcPr>
            <w:tcW w:w="1505" w:type="dxa"/>
          </w:tcPr>
          <w:p w14:paraId="70D07E76" w14:textId="77777777" w:rsidR="001913CB" w:rsidRPr="003E6A8A" w:rsidRDefault="001913CB" w:rsidP="001F0948">
            <w:pPr>
              <w:pStyle w:val="ListBullet"/>
              <w:numPr>
                <w:ilvl w:val="0"/>
                <w:numId w:val="0"/>
              </w:numPr>
              <w:ind w:left="360"/>
              <w:rPr>
                <w:rFonts w:ascii="Verdana" w:hAnsi="Verdana"/>
              </w:rPr>
            </w:pPr>
          </w:p>
        </w:tc>
      </w:tr>
      <w:tr w:rsidR="001913CB" w:rsidRPr="003E6A8A" w14:paraId="1423432A" w14:textId="77777777" w:rsidTr="001913CB">
        <w:tc>
          <w:tcPr>
            <w:tcW w:w="355" w:type="dxa"/>
          </w:tcPr>
          <w:p w14:paraId="05C586D7" w14:textId="750A4507" w:rsidR="001913CB" w:rsidRPr="003E6A8A" w:rsidRDefault="00F43183" w:rsidP="001F0948">
            <w:pPr>
              <w:rPr>
                <w:rFonts w:ascii="Verdana" w:hAnsi="Verdana"/>
                <w:szCs w:val="18"/>
                <w:lang w:val="en-GB"/>
              </w:rPr>
            </w:pPr>
            <w:r>
              <w:rPr>
                <w:rFonts w:ascii="Verdana" w:hAnsi="Verdana"/>
                <w:szCs w:val="18"/>
                <w:lang w:val="en-GB"/>
              </w:rPr>
              <w:lastRenderedPageBreak/>
              <w:t>7</w:t>
            </w:r>
          </w:p>
        </w:tc>
        <w:tc>
          <w:tcPr>
            <w:tcW w:w="10345" w:type="dxa"/>
          </w:tcPr>
          <w:p w14:paraId="05D2AB31" w14:textId="48DBDF65" w:rsidR="001913CB" w:rsidRPr="003E6A8A" w:rsidRDefault="001913CB" w:rsidP="001F0948">
            <w:pPr>
              <w:rPr>
                <w:rFonts w:ascii="Verdana" w:hAnsi="Verdana"/>
                <w:color w:val="000000"/>
                <w:szCs w:val="18"/>
                <w:lang w:val="en-GB"/>
              </w:rPr>
            </w:pPr>
            <w:r w:rsidRPr="003E6A8A">
              <w:rPr>
                <w:rFonts w:ascii="Verdana" w:hAnsi="Verdana"/>
                <w:szCs w:val="18"/>
                <w:lang w:val="en-GB"/>
              </w:rPr>
              <w:t xml:space="preserve">Verify that there is sufficient Audit trail - Accounting procedures used in the recording of eligible costs must respect the accounting rules of the country in which the Beneficiary is established and must permit a direct </w:t>
            </w:r>
            <w:r w:rsidRPr="003E6A8A">
              <w:rPr>
                <w:rFonts w:ascii="Verdana" w:hAnsi="Verdana"/>
                <w:color w:val="000000"/>
                <w:szCs w:val="18"/>
                <w:lang w:val="en-GB"/>
              </w:rPr>
              <w:t xml:space="preserve">reconciliation between the costs incurred during the Project implementation and declared in the Financial Statement and accounting records of the </w:t>
            </w:r>
            <w:r w:rsidR="001F0948">
              <w:rPr>
                <w:rFonts w:ascii="Verdana" w:hAnsi="Verdana"/>
                <w:color w:val="000000"/>
                <w:szCs w:val="18"/>
                <w:lang w:val="en-GB"/>
              </w:rPr>
              <w:t>B</w:t>
            </w:r>
            <w:r w:rsidRPr="003E6A8A">
              <w:rPr>
                <w:rFonts w:ascii="Verdana" w:hAnsi="Verdana"/>
                <w:color w:val="000000"/>
                <w:szCs w:val="18"/>
                <w:lang w:val="en-GB"/>
              </w:rPr>
              <w:t>eneficiary.</w:t>
            </w:r>
          </w:p>
        </w:tc>
        <w:tc>
          <w:tcPr>
            <w:tcW w:w="1825" w:type="dxa"/>
          </w:tcPr>
          <w:p w14:paraId="7DFE3C68" w14:textId="77777777" w:rsidR="001913CB" w:rsidRPr="003E6A8A" w:rsidRDefault="001913CB" w:rsidP="001F0948">
            <w:pPr>
              <w:ind w:left="360"/>
              <w:rPr>
                <w:rFonts w:ascii="Verdana" w:hAnsi="Verdana"/>
                <w:lang w:val="en-GB"/>
              </w:rPr>
            </w:pPr>
          </w:p>
        </w:tc>
        <w:tc>
          <w:tcPr>
            <w:tcW w:w="1505" w:type="dxa"/>
          </w:tcPr>
          <w:p w14:paraId="1D60582C" w14:textId="77777777" w:rsidR="001913CB" w:rsidRPr="003E6A8A" w:rsidRDefault="001913CB" w:rsidP="001F0948">
            <w:pPr>
              <w:ind w:left="360"/>
              <w:rPr>
                <w:rFonts w:ascii="Verdana" w:hAnsi="Verdana"/>
                <w:lang w:val="en-GB"/>
              </w:rPr>
            </w:pPr>
          </w:p>
        </w:tc>
      </w:tr>
      <w:tr w:rsidR="001913CB" w:rsidRPr="003E6A8A" w14:paraId="162705A0" w14:textId="77777777" w:rsidTr="001913CB">
        <w:tc>
          <w:tcPr>
            <w:tcW w:w="355" w:type="dxa"/>
          </w:tcPr>
          <w:p w14:paraId="27D4580F" w14:textId="3F278B2A" w:rsidR="001913CB" w:rsidRPr="003E6A8A" w:rsidRDefault="004E1329" w:rsidP="001F0948">
            <w:pPr>
              <w:rPr>
                <w:rFonts w:ascii="Verdana" w:hAnsi="Verdana"/>
                <w:color w:val="000000"/>
                <w:szCs w:val="18"/>
                <w:lang w:val="en-GB"/>
              </w:rPr>
            </w:pPr>
            <w:r>
              <w:rPr>
                <w:rFonts w:ascii="Verdana" w:hAnsi="Verdana"/>
                <w:color w:val="000000"/>
                <w:szCs w:val="18"/>
                <w:lang w:val="en-GB"/>
              </w:rPr>
              <w:t>8</w:t>
            </w:r>
          </w:p>
        </w:tc>
        <w:tc>
          <w:tcPr>
            <w:tcW w:w="10345" w:type="dxa"/>
          </w:tcPr>
          <w:p w14:paraId="1842FAF6" w14:textId="77777777" w:rsidR="001913CB" w:rsidRPr="003E6A8A" w:rsidRDefault="001913CB" w:rsidP="001F0948">
            <w:pPr>
              <w:rPr>
                <w:rFonts w:ascii="Verdana" w:hAnsi="Verdana"/>
                <w:b/>
                <w:lang w:val="en-GB"/>
              </w:rPr>
            </w:pPr>
            <w:r w:rsidRPr="003E6A8A">
              <w:rPr>
                <w:rFonts w:ascii="Verdana" w:hAnsi="Verdana"/>
                <w:color w:val="000000"/>
                <w:szCs w:val="18"/>
                <w:lang w:val="en-GB"/>
              </w:rPr>
              <w:t>Check that the declared costs belong to the eligible cost categories as stated in the approved budget</w:t>
            </w:r>
          </w:p>
        </w:tc>
        <w:tc>
          <w:tcPr>
            <w:tcW w:w="1825" w:type="dxa"/>
          </w:tcPr>
          <w:p w14:paraId="5CA27C18" w14:textId="77777777" w:rsidR="001913CB" w:rsidRPr="003E6A8A" w:rsidRDefault="001913CB" w:rsidP="001F0948">
            <w:pPr>
              <w:ind w:left="360"/>
              <w:rPr>
                <w:rFonts w:ascii="Verdana" w:hAnsi="Verdana"/>
                <w:b/>
                <w:lang w:val="en-GB"/>
              </w:rPr>
            </w:pPr>
          </w:p>
        </w:tc>
        <w:tc>
          <w:tcPr>
            <w:tcW w:w="1505" w:type="dxa"/>
          </w:tcPr>
          <w:p w14:paraId="607F7E8E" w14:textId="77777777" w:rsidR="001913CB" w:rsidRPr="003E6A8A" w:rsidRDefault="001913CB" w:rsidP="001F0948">
            <w:pPr>
              <w:ind w:left="360"/>
              <w:rPr>
                <w:rFonts w:ascii="Verdana" w:hAnsi="Verdana"/>
                <w:b/>
                <w:lang w:val="en-GB"/>
              </w:rPr>
            </w:pPr>
          </w:p>
        </w:tc>
      </w:tr>
      <w:tr w:rsidR="001913CB" w:rsidRPr="003E6A8A" w14:paraId="63659435" w14:textId="77777777" w:rsidTr="001913CB">
        <w:tc>
          <w:tcPr>
            <w:tcW w:w="355" w:type="dxa"/>
          </w:tcPr>
          <w:p w14:paraId="720F7E26" w14:textId="454243D9" w:rsidR="001913CB" w:rsidRPr="003E6A8A" w:rsidRDefault="004E1329" w:rsidP="001F0948">
            <w:pPr>
              <w:pStyle w:val="ListNumber"/>
              <w:numPr>
                <w:ilvl w:val="0"/>
                <w:numId w:val="0"/>
              </w:numPr>
              <w:rPr>
                <w:rFonts w:ascii="Verdana" w:hAnsi="Verdana"/>
                <w:lang w:val="en-GB"/>
              </w:rPr>
            </w:pPr>
            <w:r>
              <w:rPr>
                <w:rFonts w:ascii="Verdana" w:hAnsi="Verdana"/>
                <w:lang w:val="en-GB"/>
              </w:rPr>
              <w:t>9</w:t>
            </w:r>
          </w:p>
        </w:tc>
        <w:tc>
          <w:tcPr>
            <w:tcW w:w="10345" w:type="dxa"/>
          </w:tcPr>
          <w:p w14:paraId="57676C64" w14:textId="02DC6E65" w:rsidR="001913CB" w:rsidRPr="003E6A8A" w:rsidRDefault="001913CB" w:rsidP="001F0948">
            <w:pPr>
              <w:pStyle w:val="ListNumber"/>
              <w:numPr>
                <w:ilvl w:val="0"/>
                <w:numId w:val="0"/>
              </w:numPr>
              <w:rPr>
                <w:rFonts w:ascii="Verdana" w:hAnsi="Verdana"/>
                <w:lang w:val="en-GB"/>
              </w:rPr>
            </w:pPr>
            <w:r w:rsidRPr="003E6A8A">
              <w:rPr>
                <w:rFonts w:ascii="Verdana" w:hAnsi="Verdana"/>
                <w:lang w:val="en-GB"/>
              </w:rPr>
              <w:t xml:space="preserve">Verify that </w:t>
            </w:r>
            <w:r w:rsidR="001F0948" w:rsidRPr="00665E13">
              <w:t>con</w:t>
            </w:r>
            <w:r w:rsidR="001F0948" w:rsidRPr="006410F1">
              <w:t>tracted overhead costs were not exceeded</w:t>
            </w:r>
          </w:p>
        </w:tc>
        <w:tc>
          <w:tcPr>
            <w:tcW w:w="1825" w:type="dxa"/>
          </w:tcPr>
          <w:p w14:paraId="35B62A72" w14:textId="77777777" w:rsidR="001913CB" w:rsidRPr="003E6A8A" w:rsidRDefault="001913CB" w:rsidP="001F0948">
            <w:pPr>
              <w:pStyle w:val="ListNumber"/>
              <w:numPr>
                <w:ilvl w:val="0"/>
                <w:numId w:val="0"/>
              </w:numPr>
              <w:ind w:left="360"/>
              <w:rPr>
                <w:rFonts w:ascii="Verdana" w:hAnsi="Verdana"/>
                <w:lang w:val="en-GB"/>
              </w:rPr>
            </w:pPr>
          </w:p>
        </w:tc>
        <w:tc>
          <w:tcPr>
            <w:tcW w:w="1505" w:type="dxa"/>
          </w:tcPr>
          <w:p w14:paraId="28872365" w14:textId="77777777" w:rsidR="001913CB" w:rsidRPr="003E6A8A" w:rsidRDefault="001913CB" w:rsidP="001F0948">
            <w:pPr>
              <w:pStyle w:val="ListNumber"/>
              <w:numPr>
                <w:ilvl w:val="0"/>
                <w:numId w:val="0"/>
              </w:numPr>
              <w:ind w:left="360"/>
              <w:rPr>
                <w:rFonts w:ascii="Verdana" w:hAnsi="Verdana"/>
                <w:lang w:val="en-GB"/>
              </w:rPr>
            </w:pPr>
          </w:p>
        </w:tc>
      </w:tr>
      <w:tr w:rsidR="001913CB" w:rsidRPr="003E6A8A" w14:paraId="69D1E205" w14:textId="77777777" w:rsidTr="001913CB">
        <w:tc>
          <w:tcPr>
            <w:tcW w:w="355" w:type="dxa"/>
          </w:tcPr>
          <w:p w14:paraId="4AF3B023" w14:textId="0EDEA396" w:rsidR="001913CB" w:rsidRPr="003E6A8A" w:rsidRDefault="004E1329" w:rsidP="001F0948">
            <w:pPr>
              <w:rPr>
                <w:rFonts w:ascii="Verdana" w:hAnsi="Verdana"/>
                <w:szCs w:val="18"/>
                <w:lang w:val="en-GB"/>
              </w:rPr>
            </w:pPr>
            <w:r>
              <w:rPr>
                <w:rFonts w:ascii="Verdana" w:hAnsi="Verdana"/>
                <w:szCs w:val="18"/>
                <w:lang w:val="en-GB"/>
              </w:rPr>
              <w:t>10</w:t>
            </w:r>
          </w:p>
        </w:tc>
        <w:tc>
          <w:tcPr>
            <w:tcW w:w="10345" w:type="dxa"/>
          </w:tcPr>
          <w:p w14:paraId="01B9045D" w14:textId="6B23521F" w:rsidR="001913CB" w:rsidRPr="003E6A8A" w:rsidRDefault="00CD4093" w:rsidP="001F4201">
            <w:pPr>
              <w:rPr>
                <w:rFonts w:ascii="Verdana" w:hAnsi="Verdana"/>
                <w:szCs w:val="18"/>
                <w:lang w:val="en-GB"/>
              </w:rPr>
            </w:pPr>
            <w:r w:rsidRPr="003E6A8A">
              <w:rPr>
                <w:rFonts w:ascii="Verdana" w:hAnsi="Verdana"/>
                <w:szCs w:val="18"/>
                <w:lang w:val="en-GB"/>
              </w:rPr>
              <w:t>Verify whether transfers between cost categories were not exceeded, and if yes, whether relevant approvals had been obtained</w:t>
            </w:r>
            <w:r>
              <w:rPr>
                <w:rFonts w:ascii="Verdana" w:hAnsi="Verdana"/>
                <w:szCs w:val="18"/>
                <w:lang w:val="en-GB"/>
              </w:rPr>
              <w:t>.</w:t>
            </w:r>
            <w:r w:rsidRPr="003E6A8A">
              <w:rPr>
                <w:rFonts w:ascii="Verdana" w:hAnsi="Verdana"/>
                <w:szCs w:val="18"/>
                <w:lang w:val="en-GB"/>
              </w:rPr>
              <w:t xml:space="preserve"> (</w:t>
            </w:r>
            <w:r w:rsidRPr="00EC74EA">
              <w:rPr>
                <w:rFonts w:ascii="Verdana" w:hAnsi="Verdana"/>
                <w:szCs w:val="18"/>
                <w:lang w:val="en-GB"/>
              </w:rPr>
              <w:t xml:space="preserve">Transfers between cost categories of up to EUR 1000 are allowed without prior IVF approval. For changes exceeding </w:t>
            </w:r>
            <w:r>
              <w:rPr>
                <w:rFonts w:ascii="Verdana" w:hAnsi="Verdana"/>
                <w:szCs w:val="18"/>
                <w:lang w:val="en-GB"/>
              </w:rPr>
              <w:t>EUR 1000</w:t>
            </w:r>
            <w:r w:rsidRPr="00EC74EA">
              <w:rPr>
                <w:rFonts w:ascii="Verdana" w:hAnsi="Verdana"/>
                <w:szCs w:val="18"/>
                <w:lang w:val="en-GB"/>
              </w:rPr>
              <w:t>, a written approval of t</w:t>
            </w:r>
            <w:r w:rsidR="001F4201">
              <w:rPr>
                <w:rFonts w:ascii="Verdana" w:hAnsi="Verdana"/>
                <w:szCs w:val="18"/>
                <w:lang w:val="en-GB"/>
              </w:rPr>
              <w:t>he Fund is required via e-mail.)</w:t>
            </w:r>
          </w:p>
        </w:tc>
        <w:tc>
          <w:tcPr>
            <w:tcW w:w="1825" w:type="dxa"/>
          </w:tcPr>
          <w:p w14:paraId="31E90880" w14:textId="77777777" w:rsidR="001913CB" w:rsidRPr="003E6A8A" w:rsidRDefault="001913CB" w:rsidP="001F0948">
            <w:pPr>
              <w:ind w:left="360"/>
              <w:rPr>
                <w:rFonts w:ascii="Verdana" w:hAnsi="Verdana"/>
                <w:lang w:val="en-GB"/>
              </w:rPr>
            </w:pPr>
          </w:p>
        </w:tc>
        <w:tc>
          <w:tcPr>
            <w:tcW w:w="1505" w:type="dxa"/>
          </w:tcPr>
          <w:p w14:paraId="53F7F07E" w14:textId="77777777" w:rsidR="001913CB" w:rsidRPr="003E6A8A" w:rsidRDefault="001913CB" w:rsidP="001F0948">
            <w:pPr>
              <w:ind w:left="360"/>
              <w:rPr>
                <w:rFonts w:ascii="Verdana" w:hAnsi="Verdana"/>
                <w:lang w:val="en-GB"/>
              </w:rPr>
            </w:pPr>
          </w:p>
        </w:tc>
      </w:tr>
      <w:tr w:rsidR="001913CB" w:rsidRPr="003E6A8A" w14:paraId="4C4EED54" w14:textId="77777777" w:rsidTr="001913CB">
        <w:tc>
          <w:tcPr>
            <w:tcW w:w="355" w:type="dxa"/>
          </w:tcPr>
          <w:p w14:paraId="33D8C843" w14:textId="572882A3" w:rsidR="001913CB" w:rsidRPr="003E6A8A" w:rsidRDefault="001913CB" w:rsidP="001F0948">
            <w:pPr>
              <w:rPr>
                <w:rFonts w:ascii="Verdana" w:hAnsi="Verdana"/>
                <w:szCs w:val="18"/>
                <w:lang w:val="en-GB"/>
              </w:rPr>
            </w:pPr>
            <w:r w:rsidRPr="003E6A8A">
              <w:rPr>
                <w:rFonts w:ascii="Verdana" w:hAnsi="Verdana"/>
                <w:szCs w:val="18"/>
                <w:lang w:val="en-GB"/>
              </w:rPr>
              <w:t>1</w:t>
            </w:r>
            <w:r w:rsidR="004E1329">
              <w:rPr>
                <w:rFonts w:ascii="Verdana" w:hAnsi="Verdana"/>
                <w:szCs w:val="18"/>
                <w:lang w:val="en-GB"/>
              </w:rPr>
              <w:t>1</w:t>
            </w:r>
          </w:p>
        </w:tc>
        <w:tc>
          <w:tcPr>
            <w:tcW w:w="10345" w:type="dxa"/>
          </w:tcPr>
          <w:p w14:paraId="1E878224" w14:textId="77777777" w:rsidR="001913CB" w:rsidRPr="003E6A8A" w:rsidRDefault="001913CB" w:rsidP="001F0948">
            <w:pPr>
              <w:rPr>
                <w:rFonts w:ascii="Verdana" w:hAnsi="Verdana"/>
                <w:szCs w:val="18"/>
                <w:lang w:val="en-GB"/>
              </w:rPr>
            </w:pPr>
            <w:r w:rsidRPr="003E6A8A">
              <w:rPr>
                <w:rFonts w:ascii="Verdana" w:hAnsi="Verdana"/>
                <w:szCs w:val="18"/>
                <w:lang w:val="en-GB"/>
              </w:rPr>
              <w:t>Verify the following (applicable only for costs covered from IVF, and not for co-financed costs):</w:t>
            </w:r>
          </w:p>
        </w:tc>
        <w:tc>
          <w:tcPr>
            <w:tcW w:w="1825" w:type="dxa"/>
          </w:tcPr>
          <w:p w14:paraId="4F9863B6" w14:textId="77777777" w:rsidR="001913CB" w:rsidRPr="003E6A8A" w:rsidRDefault="001913CB" w:rsidP="001F0948">
            <w:pPr>
              <w:ind w:left="360"/>
              <w:rPr>
                <w:rFonts w:ascii="Verdana" w:hAnsi="Verdana"/>
                <w:b/>
                <w:lang w:val="en-GB"/>
              </w:rPr>
            </w:pPr>
          </w:p>
        </w:tc>
        <w:tc>
          <w:tcPr>
            <w:tcW w:w="1505" w:type="dxa"/>
          </w:tcPr>
          <w:p w14:paraId="243625A5" w14:textId="77777777" w:rsidR="001913CB" w:rsidRPr="003E6A8A" w:rsidRDefault="001913CB" w:rsidP="001F0948">
            <w:pPr>
              <w:ind w:left="360"/>
              <w:rPr>
                <w:rFonts w:ascii="Verdana" w:hAnsi="Verdana"/>
                <w:b/>
                <w:lang w:val="en-GB"/>
              </w:rPr>
            </w:pPr>
          </w:p>
        </w:tc>
      </w:tr>
      <w:tr w:rsidR="001913CB" w:rsidRPr="003E6A8A" w14:paraId="0CEE7473" w14:textId="77777777" w:rsidTr="001913CB">
        <w:tc>
          <w:tcPr>
            <w:tcW w:w="355" w:type="dxa"/>
          </w:tcPr>
          <w:p w14:paraId="0AF386D0" w14:textId="77777777" w:rsidR="001913CB" w:rsidRPr="003E6A8A" w:rsidRDefault="001913CB" w:rsidP="001F0948">
            <w:pPr>
              <w:pStyle w:val="ListBullet"/>
              <w:numPr>
                <w:ilvl w:val="0"/>
                <w:numId w:val="0"/>
              </w:numPr>
              <w:rPr>
                <w:rFonts w:ascii="Verdana" w:hAnsi="Verdana"/>
              </w:rPr>
            </w:pPr>
          </w:p>
        </w:tc>
        <w:tc>
          <w:tcPr>
            <w:tcW w:w="10345" w:type="dxa"/>
          </w:tcPr>
          <w:p w14:paraId="3B877E21" w14:textId="77777777" w:rsidR="001913CB" w:rsidRPr="003E6A8A" w:rsidRDefault="001913CB" w:rsidP="001F0948">
            <w:pPr>
              <w:pStyle w:val="ListBullet"/>
              <w:rPr>
                <w:rFonts w:ascii="Verdana" w:hAnsi="Verdana"/>
              </w:rPr>
            </w:pPr>
            <w:r w:rsidRPr="003E6A8A">
              <w:rPr>
                <w:rFonts w:ascii="Verdana" w:hAnsi="Verdana"/>
              </w:rPr>
              <w:t>The contracted grant limit was not exceeded</w:t>
            </w:r>
          </w:p>
        </w:tc>
        <w:tc>
          <w:tcPr>
            <w:tcW w:w="1825" w:type="dxa"/>
          </w:tcPr>
          <w:p w14:paraId="57FE840A" w14:textId="77777777" w:rsidR="001913CB" w:rsidRPr="003E6A8A" w:rsidRDefault="001913CB" w:rsidP="001F0948">
            <w:pPr>
              <w:pStyle w:val="ListBullet"/>
              <w:numPr>
                <w:ilvl w:val="0"/>
                <w:numId w:val="0"/>
              </w:numPr>
              <w:ind w:left="360"/>
              <w:rPr>
                <w:rFonts w:ascii="Verdana" w:hAnsi="Verdana"/>
              </w:rPr>
            </w:pPr>
          </w:p>
        </w:tc>
        <w:tc>
          <w:tcPr>
            <w:tcW w:w="1505" w:type="dxa"/>
          </w:tcPr>
          <w:p w14:paraId="5A1C5B7B" w14:textId="77777777" w:rsidR="001913CB" w:rsidRPr="003E6A8A" w:rsidRDefault="001913CB" w:rsidP="001F0948">
            <w:pPr>
              <w:pStyle w:val="ListBullet"/>
              <w:numPr>
                <w:ilvl w:val="0"/>
                <w:numId w:val="0"/>
              </w:numPr>
              <w:ind w:left="360"/>
              <w:rPr>
                <w:rFonts w:ascii="Verdana" w:hAnsi="Verdana"/>
              </w:rPr>
            </w:pPr>
          </w:p>
        </w:tc>
      </w:tr>
      <w:tr w:rsidR="001913CB" w:rsidRPr="003E6A8A" w14:paraId="0B8E45F3" w14:textId="77777777" w:rsidTr="001913CB">
        <w:tc>
          <w:tcPr>
            <w:tcW w:w="355" w:type="dxa"/>
          </w:tcPr>
          <w:p w14:paraId="32F60F6F" w14:textId="77777777" w:rsidR="001913CB" w:rsidRPr="003E6A8A" w:rsidRDefault="001913CB" w:rsidP="001F0948">
            <w:pPr>
              <w:pStyle w:val="ListBullet"/>
              <w:numPr>
                <w:ilvl w:val="0"/>
                <w:numId w:val="0"/>
              </w:numPr>
              <w:rPr>
                <w:rFonts w:ascii="Verdana" w:hAnsi="Verdana"/>
              </w:rPr>
            </w:pPr>
          </w:p>
        </w:tc>
        <w:tc>
          <w:tcPr>
            <w:tcW w:w="10345" w:type="dxa"/>
          </w:tcPr>
          <w:p w14:paraId="24BADCE2" w14:textId="0EFDB4B0" w:rsidR="001913CB" w:rsidRPr="003E6A8A" w:rsidRDefault="00814764" w:rsidP="001F0948">
            <w:pPr>
              <w:pStyle w:val="ListBullet"/>
              <w:rPr>
                <w:rFonts w:ascii="Verdana" w:hAnsi="Verdana"/>
              </w:rPr>
            </w:pPr>
            <w:r>
              <w:rPr>
                <w:rFonts w:ascii="Verdana" w:hAnsi="Verdana"/>
              </w:rPr>
              <w:t>All bank transfers were realiz</w:t>
            </w:r>
            <w:r w:rsidR="001913CB" w:rsidRPr="003E6A8A">
              <w:rPr>
                <w:rFonts w:ascii="Verdana" w:hAnsi="Verdana"/>
              </w:rPr>
              <w:t xml:space="preserve">ed from bank accounts owned by the </w:t>
            </w:r>
            <w:r w:rsidR="001F0948">
              <w:rPr>
                <w:rFonts w:ascii="Verdana" w:hAnsi="Verdana"/>
              </w:rPr>
              <w:t>B</w:t>
            </w:r>
            <w:r w:rsidR="001913CB" w:rsidRPr="003E6A8A">
              <w:rPr>
                <w:rFonts w:ascii="Verdana" w:hAnsi="Verdana"/>
              </w:rPr>
              <w:t xml:space="preserve">eneficiary </w:t>
            </w:r>
          </w:p>
        </w:tc>
        <w:tc>
          <w:tcPr>
            <w:tcW w:w="1825" w:type="dxa"/>
          </w:tcPr>
          <w:p w14:paraId="2FB88F7D" w14:textId="77777777" w:rsidR="001913CB" w:rsidRPr="003E6A8A" w:rsidRDefault="001913CB" w:rsidP="001F0948">
            <w:pPr>
              <w:pStyle w:val="ListBullet"/>
              <w:numPr>
                <w:ilvl w:val="0"/>
                <w:numId w:val="0"/>
              </w:numPr>
              <w:ind w:left="360"/>
              <w:rPr>
                <w:rFonts w:ascii="Verdana" w:hAnsi="Verdana"/>
              </w:rPr>
            </w:pPr>
          </w:p>
        </w:tc>
        <w:tc>
          <w:tcPr>
            <w:tcW w:w="1505" w:type="dxa"/>
          </w:tcPr>
          <w:p w14:paraId="56656987" w14:textId="77777777" w:rsidR="001913CB" w:rsidRPr="003E6A8A" w:rsidRDefault="001913CB" w:rsidP="001F0948">
            <w:pPr>
              <w:pStyle w:val="ListBullet"/>
              <w:numPr>
                <w:ilvl w:val="0"/>
                <w:numId w:val="0"/>
              </w:numPr>
              <w:ind w:left="360"/>
              <w:rPr>
                <w:rFonts w:ascii="Verdana" w:hAnsi="Verdana"/>
              </w:rPr>
            </w:pPr>
          </w:p>
        </w:tc>
      </w:tr>
      <w:tr w:rsidR="001913CB" w:rsidRPr="003E6A8A" w14:paraId="21026AF4" w14:textId="77777777" w:rsidTr="001913CB">
        <w:tc>
          <w:tcPr>
            <w:tcW w:w="355" w:type="dxa"/>
          </w:tcPr>
          <w:p w14:paraId="6C1E2FF3" w14:textId="77777777" w:rsidR="001913CB" w:rsidRPr="003E6A8A" w:rsidRDefault="001913CB" w:rsidP="001F0948">
            <w:pPr>
              <w:pStyle w:val="ListBullet"/>
              <w:numPr>
                <w:ilvl w:val="0"/>
                <w:numId w:val="0"/>
              </w:numPr>
              <w:rPr>
                <w:rFonts w:ascii="Verdana" w:hAnsi="Verdana"/>
              </w:rPr>
            </w:pPr>
          </w:p>
        </w:tc>
        <w:tc>
          <w:tcPr>
            <w:tcW w:w="10345" w:type="dxa"/>
          </w:tcPr>
          <w:p w14:paraId="5D2271B7" w14:textId="54408439" w:rsidR="001913CB" w:rsidRPr="003E6A8A" w:rsidRDefault="00722021" w:rsidP="00D64CA3">
            <w:pPr>
              <w:pStyle w:val="ListBullet"/>
              <w:rPr>
                <w:rFonts w:ascii="Verdana" w:hAnsi="Verdana"/>
              </w:rPr>
            </w:pPr>
            <w:r>
              <w:rPr>
                <w:rFonts w:ascii="Verdana" w:hAnsi="Verdana"/>
              </w:rPr>
              <w:t>The c</w:t>
            </w:r>
            <w:r w:rsidR="001913CB" w:rsidRPr="003E6A8A">
              <w:rPr>
                <w:rFonts w:ascii="Verdana" w:hAnsi="Verdana"/>
              </w:rPr>
              <w:t xml:space="preserve">ash operations </w:t>
            </w:r>
            <w:r w:rsidR="00814764">
              <w:rPr>
                <w:rFonts w:ascii="Verdana" w:hAnsi="Verdana"/>
              </w:rPr>
              <w:t>were not realiz</w:t>
            </w:r>
            <w:r w:rsidR="00D64CA3">
              <w:rPr>
                <w:rFonts w:ascii="Verdana" w:hAnsi="Verdana"/>
              </w:rPr>
              <w:t xml:space="preserve">ed </w:t>
            </w:r>
            <w:r w:rsidR="001913CB" w:rsidRPr="003E6A8A">
              <w:rPr>
                <w:rFonts w:ascii="Verdana" w:hAnsi="Verdana"/>
              </w:rPr>
              <w:t xml:space="preserve"> </w:t>
            </w:r>
          </w:p>
        </w:tc>
        <w:tc>
          <w:tcPr>
            <w:tcW w:w="1825" w:type="dxa"/>
          </w:tcPr>
          <w:p w14:paraId="0D715DD0" w14:textId="77777777" w:rsidR="001913CB" w:rsidRPr="003E6A8A" w:rsidRDefault="001913CB" w:rsidP="001F0948">
            <w:pPr>
              <w:pStyle w:val="ListBullet"/>
              <w:numPr>
                <w:ilvl w:val="0"/>
                <w:numId w:val="0"/>
              </w:numPr>
              <w:ind w:left="360"/>
              <w:rPr>
                <w:rFonts w:ascii="Verdana" w:hAnsi="Verdana"/>
              </w:rPr>
            </w:pPr>
          </w:p>
        </w:tc>
        <w:tc>
          <w:tcPr>
            <w:tcW w:w="1505" w:type="dxa"/>
          </w:tcPr>
          <w:p w14:paraId="5128B05B" w14:textId="77777777" w:rsidR="001913CB" w:rsidRPr="003E6A8A" w:rsidRDefault="001913CB" w:rsidP="001F0948">
            <w:pPr>
              <w:pStyle w:val="ListBullet"/>
              <w:numPr>
                <w:ilvl w:val="0"/>
                <w:numId w:val="0"/>
              </w:numPr>
              <w:ind w:left="360"/>
              <w:rPr>
                <w:rFonts w:ascii="Verdana" w:hAnsi="Verdana"/>
              </w:rPr>
            </w:pPr>
          </w:p>
        </w:tc>
      </w:tr>
      <w:tr w:rsidR="001913CB" w:rsidRPr="003E6A8A" w14:paraId="32CB4C42" w14:textId="77777777" w:rsidTr="001913CB">
        <w:tc>
          <w:tcPr>
            <w:tcW w:w="355" w:type="dxa"/>
          </w:tcPr>
          <w:p w14:paraId="74CDC896" w14:textId="77777777" w:rsidR="001913CB" w:rsidRPr="003E6A8A" w:rsidRDefault="001913CB" w:rsidP="001F0948">
            <w:pPr>
              <w:pStyle w:val="ListBullet"/>
              <w:numPr>
                <w:ilvl w:val="0"/>
                <w:numId w:val="0"/>
              </w:numPr>
              <w:rPr>
                <w:rFonts w:ascii="Verdana" w:hAnsi="Verdana"/>
              </w:rPr>
            </w:pPr>
          </w:p>
        </w:tc>
        <w:tc>
          <w:tcPr>
            <w:tcW w:w="10345" w:type="dxa"/>
          </w:tcPr>
          <w:p w14:paraId="15951A4E" w14:textId="77777777" w:rsidR="001913CB" w:rsidRPr="003E6A8A" w:rsidRDefault="001913CB" w:rsidP="001F0948">
            <w:pPr>
              <w:pStyle w:val="ListBullet"/>
              <w:rPr>
                <w:rFonts w:ascii="Verdana" w:hAnsi="Verdana"/>
              </w:rPr>
            </w:pPr>
            <w:r>
              <w:rPr>
                <w:rFonts w:ascii="Verdana" w:hAnsi="Verdana"/>
              </w:rPr>
              <w:t>L</w:t>
            </w:r>
            <w:r w:rsidRPr="003E6A8A">
              <w:rPr>
                <w:rFonts w:ascii="Verdana" w:hAnsi="Verdana"/>
              </w:rPr>
              <w:t>imit for tangible/intangible assets was not exceeded (if they are allowed to be eligible in the Grant Contract),</w:t>
            </w:r>
          </w:p>
        </w:tc>
        <w:tc>
          <w:tcPr>
            <w:tcW w:w="1825" w:type="dxa"/>
          </w:tcPr>
          <w:p w14:paraId="141EE6E6" w14:textId="77777777" w:rsidR="001913CB" w:rsidRPr="003E6A8A" w:rsidRDefault="001913CB" w:rsidP="001F0948">
            <w:pPr>
              <w:pStyle w:val="ListBullet"/>
              <w:numPr>
                <w:ilvl w:val="0"/>
                <w:numId w:val="0"/>
              </w:numPr>
              <w:ind w:left="360"/>
              <w:rPr>
                <w:rFonts w:ascii="Verdana" w:hAnsi="Verdana"/>
              </w:rPr>
            </w:pPr>
          </w:p>
        </w:tc>
        <w:tc>
          <w:tcPr>
            <w:tcW w:w="1505" w:type="dxa"/>
          </w:tcPr>
          <w:p w14:paraId="008CC0C1" w14:textId="77777777" w:rsidR="001913CB" w:rsidRPr="003E6A8A" w:rsidRDefault="001913CB" w:rsidP="001F0948">
            <w:pPr>
              <w:pStyle w:val="ListBullet"/>
              <w:numPr>
                <w:ilvl w:val="0"/>
                <w:numId w:val="0"/>
              </w:numPr>
              <w:ind w:left="360"/>
              <w:rPr>
                <w:rFonts w:ascii="Verdana" w:hAnsi="Verdana"/>
              </w:rPr>
            </w:pPr>
          </w:p>
        </w:tc>
      </w:tr>
      <w:tr w:rsidR="001913CB" w:rsidRPr="003E6A8A" w14:paraId="0F0C81DD" w14:textId="77777777" w:rsidTr="001913CB">
        <w:tc>
          <w:tcPr>
            <w:tcW w:w="355" w:type="dxa"/>
          </w:tcPr>
          <w:p w14:paraId="3C3956E5" w14:textId="77777777" w:rsidR="001913CB" w:rsidRPr="003E6A8A" w:rsidRDefault="001913CB" w:rsidP="001F0948">
            <w:pPr>
              <w:pStyle w:val="ListBullet"/>
              <w:numPr>
                <w:ilvl w:val="0"/>
                <w:numId w:val="0"/>
              </w:numPr>
              <w:rPr>
                <w:rFonts w:ascii="Verdana" w:hAnsi="Verdana"/>
              </w:rPr>
            </w:pPr>
          </w:p>
        </w:tc>
        <w:tc>
          <w:tcPr>
            <w:tcW w:w="10345" w:type="dxa"/>
          </w:tcPr>
          <w:p w14:paraId="7EC76924" w14:textId="2E2A03A0" w:rsidR="001913CB" w:rsidRPr="003E6A8A" w:rsidRDefault="001913CB" w:rsidP="001F0948">
            <w:pPr>
              <w:pStyle w:val="ListBullet"/>
              <w:rPr>
                <w:rFonts w:ascii="Verdana" w:hAnsi="Verdana"/>
              </w:rPr>
            </w:pPr>
            <w:r w:rsidRPr="003E6A8A">
              <w:rPr>
                <w:rFonts w:ascii="Verdana" w:hAnsi="Verdana"/>
              </w:rPr>
              <w:t xml:space="preserve">The </w:t>
            </w:r>
            <w:r w:rsidR="00722021">
              <w:rPr>
                <w:rFonts w:ascii="Verdana" w:hAnsi="Verdana"/>
              </w:rPr>
              <w:t>F</w:t>
            </w:r>
            <w:r w:rsidRPr="003E6A8A">
              <w:rPr>
                <w:rFonts w:ascii="Verdana" w:hAnsi="Verdana"/>
              </w:rPr>
              <w:t xml:space="preserve">inancial </w:t>
            </w:r>
            <w:r w:rsidR="00722021">
              <w:rPr>
                <w:rFonts w:ascii="Verdana" w:hAnsi="Verdana"/>
              </w:rPr>
              <w:t>S</w:t>
            </w:r>
            <w:r w:rsidRPr="003E6A8A">
              <w:rPr>
                <w:rFonts w:ascii="Verdana" w:hAnsi="Verdana"/>
              </w:rPr>
              <w:t xml:space="preserve">tatement was prepared using the correct exchange rate.  (Costs stated in the </w:t>
            </w:r>
            <w:r w:rsidR="00722021">
              <w:rPr>
                <w:rFonts w:ascii="Verdana" w:hAnsi="Verdana"/>
              </w:rPr>
              <w:t>F</w:t>
            </w:r>
            <w:r w:rsidRPr="003E6A8A">
              <w:rPr>
                <w:rFonts w:ascii="Verdana" w:hAnsi="Verdana"/>
              </w:rPr>
              <w:t xml:space="preserve">inancial </w:t>
            </w:r>
            <w:r w:rsidR="00722021">
              <w:rPr>
                <w:rFonts w:ascii="Verdana" w:hAnsi="Verdana"/>
              </w:rPr>
              <w:t>S</w:t>
            </w:r>
            <w:r w:rsidRPr="003E6A8A">
              <w:rPr>
                <w:rFonts w:ascii="Verdana" w:hAnsi="Verdana"/>
              </w:rPr>
              <w:t xml:space="preserve">tatement must be claimed in euro, using: </w:t>
            </w:r>
          </w:p>
          <w:p w14:paraId="4319796C" w14:textId="77777777" w:rsidR="001913CB" w:rsidRPr="003E6A8A" w:rsidRDefault="001913CB" w:rsidP="001F0948">
            <w:pPr>
              <w:pStyle w:val="ListBullet"/>
              <w:ind w:left="720"/>
              <w:rPr>
                <w:rFonts w:ascii="Verdana" w:hAnsi="Verdana"/>
              </w:rPr>
            </w:pPr>
            <w:r w:rsidRPr="003E6A8A">
              <w:rPr>
                <w:rFonts w:ascii="Verdana" w:hAnsi="Verdana"/>
              </w:rPr>
              <w:t>the exchange rate of the respective national bank on the date of conversion of IVF tranches into the local currency (unless the Beneficiary uses the euro),</w:t>
            </w:r>
          </w:p>
          <w:p w14:paraId="4353FB14" w14:textId="5C13C153" w:rsidR="001913CB" w:rsidRPr="003E6A8A" w:rsidRDefault="001913CB" w:rsidP="001F0948">
            <w:pPr>
              <w:pStyle w:val="ListBullet"/>
              <w:ind w:left="720"/>
              <w:rPr>
                <w:rFonts w:ascii="Verdana" w:hAnsi="Verdana"/>
              </w:rPr>
            </w:pPr>
            <w:r w:rsidRPr="003E6A8A">
              <w:rPr>
                <w:rFonts w:ascii="Verdana" w:hAnsi="Verdana"/>
              </w:rPr>
              <w:t xml:space="preserve">or the monthly average exchange rate of the respective national bank </w:t>
            </w:r>
            <w:r w:rsidRPr="003E6A8A">
              <w:rPr>
                <w:rFonts w:ascii="Verdana" w:hAnsi="Verdana"/>
                <w:lang w:val="sk-SK"/>
              </w:rPr>
              <w:t xml:space="preserve">in </w:t>
            </w:r>
            <w:proofErr w:type="spellStart"/>
            <w:r w:rsidRPr="003E6A8A">
              <w:rPr>
                <w:rFonts w:ascii="Verdana" w:hAnsi="Verdana"/>
                <w:lang w:val="sk-SK"/>
              </w:rPr>
              <w:t>the</w:t>
            </w:r>
            <w:proofErr w:type="spellEnd"/>
            <w:r w:rsidR="008C5CEE">
              <w:rPr>
                <w:rFonts w:ascii="Verdana" w:hAnsi="Verdana"/>
                <w:lang w:val="sk-SK"/>
              </w:rPr>
              <w:t xml:space="preserve"> </w:t>
            </w:r>
            <w:proofErr w:type="spellStart"/>
            <w:r w:rsidR="008C5CEE">
              <w:rPr>
                <w:rFonts w:ascii="Verdana" w:hAnsi="Verdana"/>
                <w:lang w:val="sk-SK"/>
              </w:rPr>
              <w:t>last</w:t>
            </w:r>
            <w:proofErr w:type="spellEnd"/>
            <w:r w:rsidRPr="003E6A8A">
              <w:rPr>
                <w:rFonts w:ascii="Verdana" w:hAnsi="Verdana"/>
                <w:lang w:val="sk-SK"/>
              </w:rPr>
              <w:t xml:space="preserve"> </w:t>
            </w:r>
            <w:proofErr w:type="spellStart"/>
            <w:r w:rsidRPr="003E6A8A">
              <w:rPr>
                <w:rFonts w:ascii="Verdana" w:hAnsi="Verdana"/>
                <w:lang w:val="sk-SK"/>
              </w:rPr>
              <w:t>month</w:t>
            </w:r>
            <w:proofErr w:type="spellEnd"/>
            <w:r w:rsidRPr="003E6A8A">
              <w:rPr>
                <w:rFonts w:ascii="Verdana" w:hAnsi="Verdana"/>
                <w:lang w:val="sk-SK"/>
              </w:rPr>
              <w:t xml:space="preserve"> </w:t>
            </w:r>
            <w:r w:rsidR="008C5CEE">
              <w:rPr>
                <w:rFonts w:ascii="Verdana" w:hAnsi="Verdana"/>
                <w:lang w:val="sk-SK"/>
              </w:rPr>
              <w:t xml:space="preserve">of </w:t>
            </w:r>
            <w:proofErr w:type="spellStart"/>
            <w:r w:rsidR="008C5CEE">
              <w:rPr>
                <w:rFonts w:ascii="Verdana" w:hAnsi="Verdana"/>
                <w:lang w:val="sk-SK"/>
              </w:rPr>
              <w:t>the</w:t>
            </w:r>
            <w:proofErr w:type="spellEnd"/>
            <w:r w:rsidR="008C5CEE">
              <w:rPr>
                <w:rFonts w:ascii="Verdana" w:hAnsi="Verdana"/>
                <w:lang w:val="sk-SK"/>
              </w:rPr>
              <w:t xml:space="preserve"> </w:t>
            </w:r>
            <w:r w:rsidRPr="003E6A8A">
              <w:rPr>
                <w:rFonts w:ascii="Verdana" w:hAnsi="Verdana"/>
                <w:lang w:val="sk-SK"/>
              </w:rPr>
              <w:t xml:space="preserve">Project </w:t>
            </w:r>
            <w:proofErr w:type="spellStart"/>
            <w:r w:rsidRPr="003E6A8A">
              <w:rPr>
                <w:rFonts w:ascii="Verdana" w:hAnsi="Verdana"/>
                <w:lang w:val="sk-SK"/>
              </w:rPr>
              <w:t>Implementation</w:t>
            </w:r>
            <w:proofErr w:type="spellEnd"/>
            <w:r w:rsidRPr="003E6A8A">
              <w:rPr>
                <w:rFonts w:ascii="Verdana" w:hAnsi="Verdana"/>
                <w:lang w:val="sk-SK"/>
              </w:rPr>
              <w:t xml:space="preserve"> </w:t>
            </w:r>
            <w:proofErr w:type="spellStart"/>
            <w:r w:rsidRPr="003E6A8A">
              <w:rPr>
                <w:rFonts w:ascii="Verdana" w:hAnsi="Verdana"/>
                <w:lang w:val="sk-SK"/>
              </w:rPr>
              <w:t>Period</w:t>
            </w:r>
            <w:proofErr w:type="spellEnd"/>
            <w:r w:rsidR="008C5CEE">
              <w:rPr>
                <w:rFonts w:ascii="Verdana" w:hAnsi="Verdana"/>
                <w:lang w:val="sk-SK"/>
              </w:rPr>
              <w:t>.</w:t>
            </w:r>
          </w:p>
        </w:tc>
        <w:tc>
          <w:tcPr>
            <w:tcW w:w="1825" w:type="dxa"/>
          </w:tcPr>
          <w:p w14:paraId="07D3F5C0" w14:textId="77777777" w:rsidR="001913CB" w:rsidRPr="003E6A8A" w:rsidRDefault="001913CB" w:rsidP="001F0948">
            <w:pPr>
              <w:pStyle w:val="ListBullet"/>
              <w:numPr>
                <w:ilvl w:val="0"/>
                <w:numId w:val="0"/>
              </w:numPr>
              <w:ind w:left="360"/>
              <w:rPr>
                <w:rFonts w:ascii="Verdana" w:hAnsi="Verdana"/>
              </w:rPr>
            </w:pPr>
          </w:p>
        </w:tc>
        <w:tc>
          <w:tcPr>
            <w:tcW w:w="1505" w:type="dxa"/>
          </w:tcPr>
          <w:p w14:paraId="6987852A" w14:textId="77777777" w:rsidR="001913CB" w:rsidRPr="003E6A8A" w:rsidRDefault="001913CB" w:rsidP="001F0948">
            <w:pPr>
              <w:pStyle w:val="ListBullet"/>
              <w:numPr>
                <w:ilvl w:val="0"/>
                <w:numId w:val="0"/>
              </w:numPr>
              <w:ind w:left="360"/>
              <w:rPr>
                <w:rFonts w:ascii="Verdana" w:hAnsi="Verdana"/>
              </w:rPr>
            </w:pPr>
          </w:p>
        </w:tc>
      </w:tr>
      <w:tr w:rsidR="001913CB" w:rsidRPr="003E6A8A" w14:paraId="53E1823E" w14:textId="77777777" w:rsidTr="001913CB">
        <w:tc>
          <w:tcPr>
            <w:tcW w:w="355" w:type="dxa"/>
          </w:tcPr>
          <w:p w14:paraId="6DDEBA72" w14:textId="57C19710" w:rsidR="001913CB" w:rsidRPr="003E6A8A" w:rsidRDefault="001913CB" w:rsidP="001F0948">
            <w:pPr>
              <w:rPr>
                <w:rFonts w:ascii="Verdana" w:hAnsi="Verdana"/>
                <w:szCs w:val="18"/>
                <w:lang w:val="en-GB"/>
              </w:rPr>
            </w:pPr>
            <w:r w:rsidRPr="003E6A8A">
              <w:rPr>
                <w:rFonts w:ascii="Verdana" w:hAnsi="Verdana"/>
                <w:szCs w:val="18"/>
                <w:lang w:val="en-GB"/>
              </w:rPr>
              <w:t>1</w:t>
            </w:r>
            <w:r w:rsidR="004E1329">
              <w:rPr>
                <w:rFonts w:ascii="Verdana" w:hAnsi="Verdana"/>
                <w:szCs w:val="18"/>
                <w:lang w:val="en-GB"/>
              </w:rPr>
              <w:t>2</w:t>
            </w:r>
          </w:p>
        </w:tc>
        <w:tc>
          <w:tcPr>
            <w:tcW w:w="10345" w:type="dxa"/>
          </w:tcPr>
          <w:p w14:paraId="14A3AC57" w14:textId="6BE1BC63" w:rsidR="001913CB" w:rsidRPr="003E6A8A" w:rsidRDefault="001913CB" w:rsidP="001F0948">
            <w:pPr>
              <w:rPr>
                <w:rFonts w:ascii="Verdana" w:hAnsi="Verdana"/>
                <w:szCs w:val="18"/>
                <w:lang w:val="en-GB"/>
              </w:rPr>
            </w:pPr>
            <w:r w:rsidRPr="003E6A8A">
              <w:rPr>
                <w:rFonts w:ascii="Verdana" w:hAnsi="Verdana"/>
                <w:szCs w:val="18"/>
                <w:lang w:val="en-GB"/>
              </w:rPr>
              <w:t xml:space="preserve">Check the accuracy of the information provided in the summary table (reported in the </w:t>
            </w:r>
            <w:r w:rsidR="00722021">
              <w:rPr>
                <w:rFonts w:ascii="Verdana" w:hAnsi="Verdana"/>
                <w:szCs w:val="18"/>
                <w:lang w:val="en-GB"/>
              </w:rPr>
              <w:t>F</w:t>
            </w:r>
            <w:r w:rsidRPr="003E6A8A">
              <w:rPr>
                <w:rFonts w:ascii="Verdana" w:hAnsi="Verdana"/>
                <w:szCs w:val="18"/>
                <w:lang w:val="en-GB"/>
              </w:rPr>
              <w:t xml:space="preserve">inancial </w:t>
            </w:r>
            <w:r w:rsidR="00722021">
              <w:rPr>
                <w:rFonts w:ascii="Verdana" w:hAnsi="Verdana"/>
                <w:szCs w:val="18"/>
                <w:lang w:val="en-GB"/>
              </w:rPr>
              <w:t>S</w:t>
            </w:r>
            <w:r w:rsidRPr="003E6A8A">
              <w:rPr>
                <w:rFonts w:ascii="Verdana" w:hAnsi="Verdana"/>
                <w:szCs w:val="18"/>
                <w:lang w:val="en-GB"/>
              </w:rPr>
              <w:t xml:space="preserve">tatement). </w:t>
            </w:r>
          </w:p>
        </w:tc>
        <w:tc>
          <w:tcPr>
            <w:tcW w:w="1825" w:type="dxa"/>
          </w:tcPr>
          <w:p w14:paraId="66174212" w14:textId="77777777" w:rsidR="001913CB" w:rsidRPr="003E6A8A" w:rsidRDefault="001913CB" w:rsidP="001F0948">
            <w:pPr>
              <w:ind w:left="360"/>
              <w:rPr>
                <w:rFonts w:ascii="Verdana" w:hAnsi="Verdana"/>
                <w:lang w:val="en-GB"/>
              </w:rPr>
            </w:pPr>
          </w:p>
        </w:tc>
        <w:tc>
          <w:tcPr>
            <w:tcW w:w="1505" w:type="dxa"/>
          </w:tcPr>
          <w:p w14:paraId="254E9CC9" w14:textId="77777777" w:rsidR="001913CB" w:rsidRPr="003E6A8A" w:rsidRDefault="001913CB" w:rsidP="001F0948">
            <w:pPr>
              <w:ind w:left="360"/>
              <w:rPr>
                <w:rFonts w:ascii="Verdana" w:hAnsi="Verdana"/>
                <w:lang w:val="en-GB"/>
              </w:rPr>
            </w:pPr>
          </w:p>
        </w:tc>
      </w:tr>
      <w:tr w:rsidR="001913CB" w:rsidRPr="003E6A8A" w14:paraId="7B4E65F9" w14:textId="77777777" w:rsidTr="001913CB">
        <w:tc>
          <w:tcPr>
            <w:tcW w:w="355" w:type="dxa"/>
          </w:tcPr>
          <w:p w14:paraId="0D4E5958" w14:textId="33F69721" w:rsidR="001913CB" w:rsidRPr="003E6A8A" w:rsidRDefault="001913CB" w:rsidP="001F0948">
            <w:pPr>
              <w:rPr>
                <w:rFonts w:ascii="Verdana" w:hAnsi="Verdana"/>
                <w:szCs w:val="18"/>
                <w:lang w:val="en-GB"/>
              </w:rPr>
            </w:pPr>
            <w:r w:rsidRPr="003E6A8A">
              <w:rPr>
                <w:rFonts w:ascii="Verdana" w:hAnsi="Verdana"/>
                <w:szCs w:val="18"/>
                <w:lang w:val="en-GB"/>
              </w:rPr>
              <w:t>1</w:t>
            </w:r>
            <w:r w:rsidR="004E1329">
              <w:rPr>
                <w:rFonts w:ascii="Verdana" w:hAnsi="Verdana"/>
                <w:szCs w:val="18"/>
                <w:lang w:val="en-GB"/>
              </w:rPr>
              <w:t>3</w:t>
            </w:r>
          </w:p>
        </w:tc>
        <w:tc>
          <w:tcPr>
            <w:tcW w:w="10345" w:type="dxa"/>
          </w:tcPr>
          <w:p w14:paraId="11C65020" w14:textId="7678C7AF" w:rsidR="001913CB" w:rsidRPr="003E6A8A" w:rsidRDefault="001913CB" w:rsidP="001F0948">
            <w:pPr>
              <w:rPr>
                <w:rFonts w:ascii="Verdana" w:eastAsia="Times New Roman" w:hAnsi="Verdana"/>
                <w:szCs w:val="18"/>
                <w:lang w:val="en-GB"/>
              </w:rPr>
            </w:pPr>
            <w:r w:rsidRPr="003E6A8A">
              <w:rPr>
                <w:rFonts w:ascii="Verdana" w:hAnsi="Verdana"/>
                <w:szCs w:val="18"/>
                <w:lang w:val="en-GB"/>
              </w:rPr>
              <w:t xml:space="preserve">Assess the reasonableness of the list of expenditures financed from </w:t>
            </w:r>
            <w:r w:rsidR="00722021">
              <w:rPr>
                <w:rFonts w:ascii="Verdana" w:hAnsi="Verdana"/>
                <w:szCs w:val="18"/>
                <w:lang w:val="en-GB"/>
              </w:rPr>
              <w:t>B</w:t>
            </w:r>
            <w:r w:rsidRPr="003E6A8A">
              <w:rPr>
                <w:rFonts w:ascii="Verdana" w:hAnsi="Verdana"/>
                <w:szCs w:val="18"/>
                <w:lang w:val="en-GB"/>
              </w:rPr>
              <w:t xml:space="preserve">eneficiary own/other sources stated in the </w:t>
            </w:r>
            <w:r w:rsidR="00722021">
              <w:rPr>
                <w:rFonts w:ascii="Verdana" w:hAnsi="Verdana"/>
                <w:szCs w:val="18"/>
                <w:lang w:val="en-GB"/>
              </w:rPr>
              <w:t>F</w:t>
            </w:r>
            <w:r w:rsidRPr="003E6A8A">
              <w:rPr>
                <w:rFonts w:ascii="Verdana" w:hAnsi="Verdana"/>
                <w:szCs w:val="18"/>
                <w:lang w:val="en-GB"/>
              </w:rPr>
              <w:t xml:space="preserve">inancial </w:t>
            </w:r>
            <w:r w:rsidR="00722021">
              <w:rPr>
                <w:rFonts w:ascii="Verdana" w:hAnsi="Verdana"/>
                <w:szCs w:val="18"/>
                <w:lang w:val="en-GB"/>
              </w:rPr>
              <w:t>S</w:t>
            </w:r>
            <w:r w:rsidRPr="003E6A8A">
              <w:rPr>
                <w:rFonts w:ascii="Verdana" w:hAnsi="Verdana"/>
                <w:szCs w:val="18"/>
                <w:lang w:val="en-GB"/>
              </w:rPr>
              <w:t xml:space="preserve">tatement (applicable only if project is co-financed – stated in the Grant Contract). </w:t>
            </w:r>
          </w:p>
        </w:tc>
        <w:tc>
          <w:tcPr>
            <w:tcW w:w="1825" w:type="dxa"/>
          </w:tcPr>
          <w:p w14:paraId="7FFC9637" w14:textId="77777777" w:rsidR="001913CB" w:rsidRPr="003E6A8A" w:rsidRDefault="001913CB" w:rsidP="001F0948">
            <w:pPr>
              <w:ind w:left="360"/>
              <w:rPr>
                <w:rFonts w:ascii="Verdana" w:hAnsi="Verdana"/>
                <w:lang w:val="en-GB"/>
              </w:rPr>
            </w:pPr>
          </w:p>
        </w:tc>
        <w:tc>
          <w:tcPr>
            <w:tcW w:w="1505" w:type="dxa"/>
          </w:tcPr>
          <w:p w14:paraId="181BBDD5" w14:textId="77777777" w:rsidR="001913CB" w:rsidRPr="003E6A8A" w:rsidRDefault="001913CB" w:rsidP="001F0948">
            <w:pPr>
              <w:ind w:left="360"/>
              <w:rPr>
                <w:rFonts w:ascii="Verdana" w:hAnsi="Verdana"/>
                <w:lang w:val="en-GB"/>
              </w:rPr>
            </w:pPr>
          </w:p>
        </w:tc>
      </w:tr>
      <w:tr w:rsidR="001913CB" w:rsidRPr="003E6A8A" w14:paraId="240E1EE2" w14:textId="77777777" w:rsidTr="001913CB">
        <w:tc>
          <w:tcPr>
            <w:tcW w:w="355" w:type="dxa"/>
          </w:tcPr>
          <w:p w14:paraId="09AAFA3F" w14:textId="14B24929" w:rsidR="001913CB" w:rsidRPr="003E6A8A" w:rsidRDefault="001913CB" w:rsidP="001F0948">
            <w:pPr>
              <w:rPr>
                <w:rFonts w:ascii="Verdana" w:hAnsi="Verdana"/>
                <w:szCs w:val="18"/>
                <w:lang w:val="en-GB"/>
              </w:rPr>
            </w:pPr>
            <w:r w:rsidRPr="003E6A8A">
              <w:rPr>
                <w:rFonts w:ascii="Verdana" w:hAnsi="Verdana"/>
                <w:szCs w:val="18"/>
                <w:lang w:val="en-GB"/>
              </w:rPr>
              <w:t>1</w:t>
            </w:r>
            <w:r w:rsidR="004E1329">
              <w:rPr>
                <w:rFonts w:ascii="Verdana" w:hAnsi="Verdana"/>
                <w:szCs w:val="18"/>
                <w:lang w:val="en-GB"/>
              </w:rPr>
              <w:t>4</w:t>
            </w:r>
          </w:p>
        </w:tc>
        <w:tc>
          <w:tcPr>
            <w:tcW w:w="10345" w:type="dxa"/>
          </w:tcPr>
          <w:p w14:paraId="7F4EEEDE" w14:textId="2CF333E7" w:rsidR="001913CB" w:rsidRPr="003E6A8A" w:rsidRDefault="001913CB" w:rsidP="001F0948">
            <w:pPr>
              <w:rPr>
                <w:rFonts w:ascii="Verdana" w:eastAsia="Times New Roman" w:hAnsi="Verdana"/>
                <w:szCs w:val="18"/>
                <w:lang w:val="en-GB"/>
              </w:rPr>
            </w:pPr>
            <w:r w:rsidRPr="003E6A8A">
              <w:rPr>
                <w:rFonts w:ascii="Verdana" w:hAnsi="Verdana"/>
                <w:szCs w:val="18"/>
                <w:lang w:val="en-GB"/>
              </w:rPr>
              <w:t xml:space="preserve">Confirm the ratio of the </w:t>
            </w:r>
            <w:r w:rsidR="00722021">
              <w:rPr>
                <w:rFonts w:ascii="Verdana" w:hAnsi="Verdana"/>
                <w:szCs w:val="18"/>
                <w:lang w:val="en-GB"/>
              </w:rPr>
              <w:t>IVF</w:t>
            </w:r>
            <w:r w:rsidRPr="003E6A8A">
              <w:rPr>
                <w:rFonts w:ascii="Verdana" w:hAnsi="Verdana"/>
                <w:szCs w:val="18"/>
                <w:lang w:val="en-GB"/>
              </w:rPr>
              <w:t xml:space="preserve">’s contribution in the overall project budget stated in the summary table (reported in the </w:t>
            </w:r>
            <w:r w:rsidR="00722021">
              <w:rPr>
                <w:rFonts w:ascii="Verdana" w:hAnsi="Verdana"/>
                <w:szCs w:val="18"/>
                <w:lang w:val="en-GB"/>
              </w:rPr>
              <w:t>F</w:t>
            </w:r>
            <w:r w:rsidRPr="003E6A8A">
              <w:rPr>
                <w:rFonts w:ascii="Verdana" w:hAnsi="Verdana"/>
                <w:szCs w:val="18"/>
                <w:lang w:val="en-GB"/>
              </w:rPr>
              <w:t xml:space="preserve">inancial </w:t>
            </w:r>
            <w:r w:rsidR="00722021">
              <w:rPr>
                <w:rFonts w:ascii="Verdana" w:hAnsi="Verdana"/>
                <w:szCs w:val="18"/>
                <w:lang w:val="en-GB"/>
              </w:rPr>
              <w:t>S</w:t>
            </w:r>
            <w:r w:rsidRPr="003E6A8A">
              <w:rPr>
                <w:rFonts w:ascii="Verdana" w:hAnsi="Verdana"/>
                <w:szCs w:val="18"/>
                <w:lang w:val="en-GB"/>
              </w:rPr>
              <w:t xml:space="preserve">tatement).  </w:t>
            </w:r>
          </w:p>
        </w:tc>
        <w:tc>
          <w:tcPr>
            <w:tcW w:w="1825" w:type="dxa"/>
          </w:tcPr>
          <w:p w14:paraId="122EAC65" w14:textId="77777777" w:rsidR="001913CB" w:rsidRPr="003E6A8A" w:rsidRDefault="001913CB" w:rsidP="001F0948">
            <w:pPr>
              <w:ind w:left="360"/>
              <w:rPr>
                <w:rFonts w:ascii="Verdana" w:hAnsi="Verdana"/>
                <w:lang w:val="en-GB"/>
              </w:rPr>
            </w:pPr>
          </w:p>
        </w:tc>
        <w:tc>
          <w:tcPr>
            <w:tcW w:w="1505" w:type="dxa"/>
          </w:tcPr>
          <w:p w14:paraId="239847FB" w14:textId="77777777" w:rsidR="001913CB" w:rsidRPr="003E6A8A" w:rsidRDefault="001913CB" w:rsidP="001F0948">
            <w:pPr>
              <w:ind w:left="360"/>
              <w:rPr>
                <w:rFonts w:ascii="Verdana" w:hAnsi="Verdana"/>
                <w:lang w:val="en-GB"/>
              </w:rPr>
            </w:pPr>
          </w:p>
        </w:tc>
      </w:tr>
      <w:tr w:rsidR="001913CB" w:rsidRPr="003E6A8A" w14:paraId="79C6E96F" w14:textId="77777777" w:rsidTr="001913CB">
        <w:tc>
          <w:tcPr>
            <w:tcW w:w="355" w:type="dxa"/>
          </w:tcPr>
          <w:p w14:paraId="4CC38E81" w14:textId="1581C490" w:rsidR="001913CB" w:rsidRPr="003E6A8A" w:rsidRDefault="001913CB" w:rsidP="001F0948">
            <w:pPr>
              <w:rPr>
                <w:rFonts w:ascii="Verdana" w:hAnsi="Verdana"/>
                <w:szCs w:val="18"/>
                <w:lang w:val="en-GB"/>
              </w:rPr>
            </w:pPr>
            <w:r w:rsidRPr="003E6A8A">
              <w:rPr>
                <w:rFonts w:ascii="Verdana" w:hAnsi="Verdana"/>
                <w:szCs w:val="18"/>
                <w:lang w:val="en-GB"/>
              </w:rPr>
              <w:t>1</w:t>
            </w:r>
            <w:r w:rsidR="004E1329">
              <w:rPr>
                <w:rFonts w:ascii="Verdana" w:hAnsi="Verdana"/>
                <w:szCs w:val="18"/>
                <w:lang w:val="en-GB"/>
              </w:rPr>
              <w:t>5</w:t>
            </w:r>
          </w:p>
        </w:tc>
        <w:tc>
          <w:tcPr>
            <w:tcW w:w="10345" w:type="dxa"/>
          </w:tcPr>
          <w:p w14:paraId="053ED2DE" w14:textId="77777777" w:rsidR="001913CB" w:rsidRPr="003E6A8A" w:rsidRDefault="001913CB" w:rsidP="001F0948">
            <w:pPr>
              <w:rPr>
                <w:rFonts w:ascii="Verdana" w:hAnsi="Verdana"/>
                <w:szCs w:val="18"/>
                <w:lang w:val="en-GB"/>
              </w:rPr>
            </w:pPr>
            <w:r w:rsidRPr="003E6A8A">
              <w:rPr>
                <w:rFonts w:ascii="Verdana" w:hAnsi="Verdana"/>
                <w:szCs w:val="18"/>
                <w:lang w:val="en-GB"/>
              </w:rPr>
              <w:t xml:space="preserve">Prepare the Audit report in English and </w:t>
            </w:r>
            <w:r w:rsidRPr="003E6A8A">
              <w:rPr>
                <w:rFonts w:ascii="Verdana" w:hAnsi="Verdana"/>
                <w:szCs w:val="18"/>
              </w:rPr>
              <w:t xml:space="preserve">in accordance with ISA 800 (Revised) Special Considerations - Audits of Financial Statements Prepared in Accordance with Special Purpose Frameworks and ISA 805 (Revised) Special Considerations - Audits of Single Financial Statements and Specific Elements, </w:t>
            </w:r>
            <w:proofErr w:type="gramStart"/>
            <w:r w:rsidRPr="003E6A8A">
              <w:rPr>
                <w:rFonts w:ascii="Verdana" w:hAnsi="Verdana"/>
                <w:szCs w:val="18"/>
              </w:rPr>
              <w:t>Accounts</w:t>
            </w:r>
            <w:proofErr w:type="gramEnd"/>
            <w:r w:rsidRPr="003E6A8A">
              <w:rPr>
                <w:rFonts w:ascii="Verdana" w:hAnsi="Verdana"/>
                <w:szCs w:val="18"/>
              </w:rPr>
              <w:t xml:space="preserve"> or Items of a Financial Statement</w:t>
            </w:r>
            <w:r w:rsidRPr="003E6A8A">
              <w:rPr>
                <w:rFonts w:ascii="Verdana" w:hAnsi="Verdana"/>
                <w:szCs w:val="18"/>
                <w:lang w:val="en-GB"/>
              </w:rPr>
              <w:t>:</w:t>
            </w:r>
          </w:p>
        </w:tc>
        <w:tc>
          <w:tcPr>
            <w:tcW w:w="1825" w:type="dxa"/>
          </w:tcPr>
          <w:p w14:paraId="562C469E" w14:textId="77777777" w:rsidR="001913CB" w:rsidRPr="003E6A8A" w:rsidRDefault="001913CB" w:rsidP="001F0948">
            <w:pPr>
              <w:rPr>
                <w:rFonts w:ascii="Verdana" w:hAnsi="Verdana"/>
                <w:lang w:val="en-GB"/>
              </w:rPr>
            </w:pPr>
          </w:p>
        </w:tc>
        <w:tc>
          <w:tcPr>
            <w:tcW w:w="1505" w:type="dxa"/>
          </w:tcPr>
          <w:p w14:paraId="7B9E0F89" w14:textId="77777777" w:rsidR="001913CB" w:rsidRPr="003E6A8A" w:rsidRDefault="001913CB" w:rsidP="001F0948">
            <w:pPr>
              <w:rPr>
                <w:rFonts w:ascii="Verdana" w:hAnsi="Verdana"/>
                <w:lang w:val="en-GB"/>
              </w:rPr>
            </w:pPr>
          </w:p>
        </w:tc>
      </w:tr>
    </w:tbl>
    <w:p w14:paraId="5EF65277" w14:textId="77777777" w:rsidR="001913CB" w:rsidRPr="003E6A8A" w:rsidRDefault="001913CB" w:rsidP="001913CB">
      <w:pPr>
        <w:ind w:left="720"/>
        <w:rPr>
          <w:rFonts w:ascii="Verdana" w:hAnsi="Verdana"/>
          <w:b/>
          <w:sz w:val="20"/>
          <w:szCs w:val="20"/>
          <w:lang w:val="en-GB"/>
        </w:rPr>
      </w:pPr>
      <w:r w:rsidRPr="003E6A8A">
        <w:rPr>
          <w:rFonts w:ascii="Verdana" w:hAnsi="Verdana"/>
          <w:b/>
          <w:sz w:val="20"/>
          <w:szCs w:val="20"/>
          <w:lang w:val="en-GB"/>
        </w:rPr>
        <w:t>Legend: Y – Yes, N – No, NA – Not applicable</w:t>
      </w:r>
    </w:p>
    <w:p w14:paraId="2AC684E9" w14:textId="34D9CCF2" w:rsidR="001913CB" w:rsidRDefault="001913CB" w:rsidP="001913CB">
      <w:pPr>
        <w:autoSpaceDE w:val="0"/>
        <w:autoSpaceDN w:val="0"/>
        <w:adjustRightInd w:val="0"/>
        <w:rPr>
          <w:rFonts w:ascii="Verdana" w:hAnsi="Verdana" w:cs="Times New Roman"/>
          <w:b/>
          <w:bCs/>
          <w:color w:val="FF8500"/>
        </w:rPr>
      </w:pPr>
    </w:p>
    <w:p w14:paraId="22983197" w14:textId="43B320E2" w:rsidR="00180ABD" w:rsidRDefault="00180ABD" w:rsidP="001913CB">
      <w:pPr>
        <w:autoSpaceDE w:val="0"/>
        <w:autoSpaceDN w:val="0"/>
        <w:adjustRightInd w:val="0"/>
        <w:rPr>
          <w:rFonts w:ascii="Verdana" w:hAnsi="Verdana" w:cs="Times New Roman"/>
          <w:b/>
          <w:bCs/>
          <w:color w:val="FF8500"/>
        </w:rPr>
      </w:pPr>
    </w:p>
    <w:p w14:paraId="4A014C54" w14:textId="2ED9FE45" w:rsidR="00180ABD" w:rsidRDefault="00180ABD" w:rsidP="001913CB">
      <w:pPr>
        <w:autoSpaceDE w:val="0"/>
        <w:autoSpaceDN w:val="0"/>
        <w:adjustRightInd w:val="0"/>
        <w:rPr>
          <w:rFonts w:ascii="Verdana" w:hAnsi="Verdana" w:cs="Times New Roman"/>
          <w:b/>
          <w:bCs/>
          <w:color w:val="FF8500"/>
        </w:rPr>
      </w:pPr>
    </w:p>
    <w:p w14:paraId="7BFC690A" w14:textId="1D56ABE1" w:rsidR="00180ABD" w:rsidRDefault="00180ABD" w:rsidP="001913CB">
      <w:pPr>
        <w:autoSpaceDE w:val="0"/>
        <w:autoSpaceDN w:val="0"/>
        <w:adjustRightInd w:val="0"/>
        <w:rPr>
          <w:rFonts w:ascii="Verdana" w:hAnsi="Verdana" w:cs="Times New Roman"/>
          <w:b/>
          <w:bCs/>
          <w:color w:val="FF8500"/>
        </w:rPr>
      </w:pPr>
    </w:p>
    <w:p w14:paraId="210CAB56" w14:textId="7E15B87D" w:rsidR="00180ABD" w:rsidRDefault="00180ABD" w:rsidP="001913CB">
      <w:pPr>
        <w:autoSpaceDE w:val="0"/>
        <w:autoSpaceDN w:val="0"/>
        <w:adjustRightInd w:val="0"/>
        <w:rPr>
          <w:rFonts w:ascii="Verdana" w:hAnsi="Verdana" w:cs="Times New Roman"/>
          <w:b/>
          <w:bCs/>
          <w:color w:val="FF8500"/>
        </w:rPr>
      </w:pPr>
    </w:p>
    <w:p w14:paraId="225380BC" w14:textId="787E605E" w:rsidR="00180ABD" w:rsidRDefault="00180ABD" w:rsidP="001913CB">
      <w:pPr>
        <w:autoSpaceDE w:val="0"/>
        <w:autoSpaceDN w:val="0"/>
        <w:adjustRightInd w:val="0"/>
        <w:rPr>
          <w:rFonts w:ascii="Verdana" w:hAnsi="Verdana" w:cs="Times New Roman"/>
          <w:b/>
          <w:bCs/>
          <w:color w:val="FF8500"/>
        </w:rPr>
      </w:pPr>
    </w:p>
    <w:p w14:paraId="2343FF92" w14:textId="77777777" w:rsidR="00180ABD" w:rsidRPr="003E6A8A" w:rsidRDefault="00180ABD" w:rsidP="001913CB">
      <w:pPr>
        <w:autoSpaceDE w:val="0"/>
        <w:autoSpaceDN w:val="0"/>
        <w:adjustRightInd w:val="0"/>
        <w:rPr>
          <w:rFonts w:ascii="Verdana" w:hAnsi="Verdana" w:cs="Times New Roman"/>
          <w:b/>
          <w:bCs/>
          <w:color w:val="FF8500"/>
        </w:rPr>
      </w:pPr>
    </w:p>
    <w:p w14:paraId="2D5E1832" w14:textId="77777777" w:rsidR="001913CB" w:rsidRDefault="001913CB" w:rsidP="001913CB">
      <w:pPr>
        <w:autoSpaceDE w:val="0"/>
        <w:autoSpaceDN w:val="0"/>
        <w:adjustRightInd w:val="0"/>
        <w:rPr>
          <w:rFonts w:ascii="Verdana" w:hAnsi="Verdana" w:cs="Times New Roman"/>
          <w:b/>
          <w:bCs/>
          <w:color w:val="000000"/>
          <w:sz w:val="20"/>
          <w:szCs w:val="20"/>
        </w:rPr>
      </w:pPr>
    </w:p>
    <w:p w14:paraId="1CE5A4C8" w14:textId="6B923D4D" w:rsidR="001913CB" w:rsidRPr="001913CB" w:rsidRDefault="001913CB" w:rsidP="001913CB">
      <w:pPr>
        <w:pStyle w:val="ListParagraph"/>
        <w:numPr>
          <w:ilvl w:val="0"/>
          <w:numId w:val="27"/>
        </w:numPr>
        <w:autoSpaceDE w:val="0"/>
        <w:autoSpaceDN w:val="0"/>
        <w:adjustRightInd w:val="0"/>
        <w:rPr>
          <w:rFonts w:ascii="Verdana" w:hAnsi="Verdana" w:cs="Times New Roman"/>
          <w:b/>
          <w:bCs/>
          <w:color w:val="000000"/>
          <w:sz w:val="20"/>
          <w:szCs w:val="20"/>
        </w:rPr>
      </w:pPr>
      <w:r w:rsidRPr="001913CB">
        <w:rPr>
          <w:rFonts w:ascii="Verdana" w:hAnsi="Verdana" w:cs="Times New Roman"/>
          <w:b/>
          <w:bCs/>
          <w:color w:val="000000"/>
          <w:sz w:val="20"/>
          <w:szCs w:val="20"/>
        </w:rPr>
        <w:lastRenderedPageBreak/>
        <w:t>Findings:</w:t>
      </w:r>
    </w:p>
    <w:p w14:paraId="30EF40BC"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3237034B" w14:textId="77777777" w:rsidR="004D5F00" w:rsidRPr="004D5F00" w:rsidRDefault="004D5F00" w:rsidP="004D5F00">
      <w:pPr>
        <w:autoSpaceDE w:val="0"/>
        <w:autoSpaceDN w:val="0"/>
        <w:adjustRightInd w:val="0"/>
        <w:rPr>
          <w:rFonts w:ascii="Verdana" w:hAnsi="Verdana" w:cs="Times New Roman"/>
          <w:bCs/>
          <w:i/>
          <w:color w:val="FF8500"/>
          <w:sz w:val="20"/>
          <w:szCs w:val="20"/>
        </w:rPr>
      </w:pPr>
      <w:r w:rsidRPr="004D5F00">
        <w:rPr>
          <w:rFonts w:ascii="Verdana" w:hAnsi="Verdana" w:cs="Times New Roman"/>
          <w:bCs/>
          <w:i/>
          <w:color w:val="000000"/>
          <w:sz w:val="20"/>
          <w:szCs w:val="20"/>
        </w:rPr>
        <w:t>(State all findings and errors identified)</w:t>
      </w:r>
    </w:p>
    <w:p w14:paraId="599850B1" w14:textId="77777777" w:rsidR="001913CB" w:rsidRPr="003E6A8A" w:rsidRDefault="001913CB" w:rsidP="001913CB">
      <w:pPr>
        <w:autoSpaceDE w:val="0"/>
        <w:autoSpaceDN w:val="0"/>
        <w:adjustRightInd w:val="0"/>
        <w:rPr>
          <w:rFonts w:ascii="Verdana" w:hAnsi="Verdana" w:cs="Times New Roman"/>
          <w:b/>
          <w:bCs/>
          <w:color w:val="FF8500"/>
          <w:sz w:val="20"/>
          <w:szCs w:val="20"/>
        </w:rPr>
      </w:pPr>
    </w:p>
    <w:p w14:paraId="435C8DE3"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2AE22038" w14:textId="77777777" w:rsidR="001913CB" w:rsidRDefault="001913CB" w:rsidP="001913CB">
      <w:pPr>
        <w:autoSpaceDE w:val="0"/>
        <w:autoSpaceDN w:val="0"/>
        <w:adjustRightInd w:val="0"/>
        <w:rPr>
          <w:rFonts w:ascii="Verdana" w:hAnsi="Verdana" w:cs="Times New Roman"/>
          <w:b/>
          <w:bCs/>
          <w:color w:val="000000"/>
          <w:sz w:val="20"/>
          <w:szCs w:val="20"/>
        </w:rPr>
      </w:pPr>
    </w:p>
    <w:p w14:paraId="3FFABFC3" w14:textId="77777777" w:rsidR="001913CB" w:rsidRDefault="001913CB" w:rsidP="001913CB">
      <w:pPr>
        <w:autoSpaceDE w:val="0"/>
        <w:autoSpaceDN w:val="0"/>
        <w:adjustRightInd w:val="0"/>
        <w:rPr>
          <w:rFonts w:ascii="Verdana" w:hAnsi="Verdana" w:cs="Times New Roman"/>
          <w:b/>
          <w:bCs/>
          <w:color w:val="000000"/>
          <w:sz w:val="20"/>
          <w:szCs w:val="20"/>
        </w:rPr>
      </w:pPr>
    </w:p>
    <w:p w14:paraId="119B7741" w14:textId="77777777" w:rsidR="001913CB" w:rsidRDefault="001913CB" w:rsidP="001913CB">
      <w:pPr>
        <w:autoSpaceDE w:val="0"/>
        <w:autoSpaceDN w:val="0"/>
        <w:adjustRightInd w:val="0"/>
        <w:rPr>
          <w:rFonts w:ascii="Verdana" w:hAnsi="Verdana" w:cs="Times New Roman"/>
          <w:b/>
          <w:bCs/>
          <w:color w:val="000000"/>
          <w:sz w:val="20"/>
          <w:szCs w:val="20"/>
        </w:rPr>
      </w:pPr>
    </w:p>
    <w:p w14:paraId="143AC32C" w14:textId="77777777" w:rsidR="001913CB" w:rsidRDefault="001913CB" w:rsidP="001913CB">
      <w:pPr>
        <w:autoSpaceDE w:val="0"/>
        <w:autoSpaceDN w:val="0"/>
        <w:adjustRightInd w:val="0"/>
        <w:rPr>
          <w:rFonts w:ascii="Verdana" w:hAnsi="Verdana" w:cs="Times New Roman"/>
          <w:b/>
          <w:bCs/>
          <w:color w:val="000000"/>
          <w:sz w:val="20"/>
          <w:szCs w:val="20"/>
        </w:rPr>
      </w:pPr>
    </w:p>
    <w:p w14:paraId="50BC1368" w14:textId="67D8545E" w:rsidR="001913CB" w:rsidRPr="001913CB" w:rsidRDefault="001913CB" w:rsidP="001913CB">
      <w:pPr>
        <w:pStyle w:val="ListParagraph"/>
        <w:numPr>
          <w:ilvl w:val="0"/>
          <w:numId w:val="27"/>
        </w:numPr>
        <w:autoSpaceDE w:val="0"/>
        <w:autoSpaceDN w:val="0"/>
        <w:adjustRightInd w:val="0"/>
        <w:rPr>
          <w:rFonts w:ascii="Verdana" w:hAnsi="Verdana" w:cs="Times New Roman"/>
          <w:bCs/>
          <w:color w:val="000000"/>
          <w:sz w:val="20"/>
          <w:szCs w:val="20"/>
        </w:rPr>
      </w:pPr>
      <w:r w:rsidRPr="001913CB">
        <w:rPr>
          <w:rFonts w:ascii="Verdana" w:hAnsi="Verdana" w:cs="Times New Roman"/>
          <w:b/>
          <w:bCs/>
          <w:color w:val="000000"/>
          <w:sz w:val="20"/>
          <w:szCs w:val="20"/>
        </w:rPr>
        <w:t>Conclusion:</w:t>
      </w:r>
    </w:p>
    <w:p w14:paraId="2C003351" w14:textId="77777777" w:rsidR="001913CB" w:rsidRDefault="001913CB" w:rsidP="001913CB">
      <w:pPr>
        <w:autoSpaceDE w:val="0"/>
        <w:autoSpaceDN w:val="0"/>
        <w:adjustRightInd w:val="0"/>
        <w:rPr>
          <w:rFonts w:ascii="Verdana" w:hAnsi="Verdana" w:cs="Times New Roman"/>
          <w:bCs/>
          <w:color w:val="000000"/>
          <w:sz w:val="20"/>
          <w:szCs w:val="20"/>
        </w:rPr>
      </w:pPr>
    </w:p>
    <w:p w14:paraId="5A4163BB" w14:textId="67B857AB" w:rsidR="001913CB" w:rsidRDefault="001913CB" w:rsidP="001913CB">
      <w:pPr>
        <w:autoSpaceDE w:val="0"/>
        <w:autoSpaceDN w:val="0"/>
        <w:adjustRightInd w:val="0"/>
        <w:rPr>
          <w:rFonts w:ascii="Verdana" w:hAnsi="Verdana" w:cs="Times New Roman"/>
          <w:bCs/>
          <w:color w:val="000000"/>
          <w:sz w:val="20"/>
          <w:szCs w:val="20"/>
        </w:rPr>
      </w:pPr>
      <w:r w:rsidRPr="003E6A8A">
        <w:rPr>
          <w:rFonts w:ascii="Verdana" w:hAnsi="Verdana" w:cs="Times New Roman"/>
          <w:bCs/>
          <w:color w:val="000000"/>
          <w:sz w:val="20"/>
          <w:szCs w:val="20"/>
        </w:rPr>
        <w:t>Sufficient Audit evidence has been obtained. Declared expenditures meet the criteria for eligibility set in the Grant Contract and the Grant Guideline</w:t>
      </w:r>
      <w:r w:rsidR="00722021">
        <w:rPr>
          <w:rFonts w:ascii="Verdana" w:hAnsi="Verdana" w:cs="Times New Roman"/>
          <w:bCs/>
          <w:color w:val="000000"/>
          <w:sz w:val="20"/>
          <w:szCs w:val="20"/>
        </w:rPr>
        <w:t>s</w:t>
      </w:r>
      <w:r w:rsidRPr="003E6A8A">
        <w:rPr>
          <w:rFonts w:ascii="Verdana" w:hAnsi="Verdana" w:cs="Times New Roman"/>
          <w:bCs/>
          <w:color w:val="000000"/>
          <w:sz w:val="20"/>
          <w:szCs w:val="20"/>
        </w:rPr>
        <w:t xml:space="preserve">. The </w:t>
      </w:r>
      <w:r w:rsidR="00722021">
        <w:rPr>
          <w:rFonts w:ascii="Verdana" w:hAnsi="Verdana" w:cs="Times New Roman"/>
          <w:bCs/>
          <w:color w:val="000000"/>
          <w:sz w:val="20"/>
          <w:szCs w:val="20"/>
        </w:rPr>
        <w:t>F</w:t>
      </w:r>
      <w:r w:rsidRPr="003E6A8A">
        <w:rPr>
          <w:rFonts w:ascii="Verdana" w:hAnsi="Verdana" w:cs="Times New Roman"/>
          <w:bCs/>
          <w:color w:val="000000"/>
          <w:sz w:val="20"/>
          <w:szCs w:val="20"/>
        </w:rPr>
        <w:t xml:space="preserve">inancial </w:t>
      </w:r>
      <w:r w:rsidR="00722021">
        <w:rPr>
          <w:rFonts w:ascii="Verdana" w:hAnsi="Verdana" w:cs="Times New Roman"/>
          <w:bCs/>
          <w:color w:val="000000"/>
          <w:sz w:val="20"/>
          <w:szCs w:val="20"/>
        </w:rPr>
        <w:t>S</w:t>
      </w:r>
      <w:r w:rsidRPr="003E6A8A">
        <w:rPr>
          <w:rFonts w:ascii="Verdana" w:hAnsi="Verdana" w:cs="Times New Roman"/>
          <w:bCs/>
          <w:color w:val="000000"/>
          <w:sz w:val="20"/>
          <w:szCs w:val="20"/>
        </w:rPr>
        <w:t>tatement has been prepared in accordance with the Grant Guideline</w:t>
      </w:r>
      <w:r w:rsidR="00722021">
        <w:rPr>
          <w:rFonts w:ascii="Verdana" w:hAnsi="Verdana" w:cs="Times New Roman"/>
          <w:bCs/>
          <w:color w:val="000000"/>
          <w:sz w:val="20"/>
          <w:szCs w:val="20"/>
        </w:rPr>
        <w:t>s</w:t>
      </w:r>
      <w:r w:rsidRPr="003E6A8A">
        <w:rPr>
          <w:rFonts w:ascii="Verdana" w:hAnsi="Verdana" w:cs="Times New Roman"/>
          <w:bCs/>
          <w:color w:val="000000"/>
          <w:sz w:val="20"/>
          <w:szCs w:val="20"/>
        </w:rPr>
        <w:t xml:space="preserve"> and is free from material misstatement</w:t>
      </w:r>
      <w:r>
        <w:rPr>
          <w:rFonts w:ascii="Verdana" w:hAnsi="Verdana" w:cs="Times New Roman"/>
          <w:bCs/>
          <w:color w:val="000000"/>
          <w:sz w:val="20"/>
          <w:szCs w:val="20"/>
        </w:rPr>
        <w:t>.</w:t>
      </w:r>
      <w:r w:rsidRPr="003E6A8A">
        <w:rPr>
          <w:rFonts w:ascii="Verdana" w:hAnsi="Verdana" w:cs="Times New Roman"/>
          <w:bCs/>
          <w:color w:val="000000"/>
          <w:sz w:val="20"/>
          <w:szCs w:val="20"/>
        </w:rPr>
        <w:t xml:space="preserve"> </w:t>
      </w:r>
    </w:p>
    <w:p w14:paraId="199BECCE" w14:textId="23B37E04" w:rsidR="001913CB" w:rsidRPr="003E6A8A" w:rsidRDefault="001913CB" w:rsidP="001913CB">
      <w:pPr>
        <w:autoSpaceDE w:val="0"/>
        <w:autoSpaceDN w:val="0"/>
        <w:adjustRightInd w:val="0"/>
        <w:rPr>
          <w:rFonts w:ascii="Verdana" w:hAnsi="Verdana" w:cs="Times New Roman"/>
          <w:bCs/>
          <w:i/>
          <w:color w:val="000000"/>
          <w:sz w:val="20"/>
          <w:szCs w:val="20"/>
        </w:rPr>
      </w:pPr>
      <w:r w:rsidRPr="003E6A8A">
        <w:rPr>
          <w:rFonts w:ascii="Verdana" w:hAnsi="Verdana" w:cs="Times New Roman"/>
          <w:bCs/>
          <w:color w:val="000000"/>
          <w:sz w:val="20"/>
          <w:szCs w:val="20"/>
        </w:rPr>
        <w:t>(</w:t>
      </w:r>
      <w:proofErr w:type="gramStart"/>
      <w:r w:rsidRPr="003E6A8A">
        <w:rPr>
          <w:rFonts w:ascii="Verdana" w:hAnsi="Verdana" w:cs="Times New Roman"/>
          <w:bCs/>
          <w:i/>
          <w:color w:val="000000"/>
          <w:sz w:val="20"/>
          <w:szCs w:val="20"/>
        </w:rPr>
        <w:t>or</w:t>
      </w:r>
      <w:proofErr w:type="gramEnd"/>
      <w:r w:rsidRPr="003E6A8A">
        <w:rPr>
          <w:rFonts w:ascii="Verdana" w:hAnsi="Verdana" w:cs="Times New Roman"/>
          <w:bCs/>
          <w:i/>
          <w:color w:val="000000"/>
          <w:sz w:val="20"/>
          <w:szCs w:val="20"/>
        </w:rPr>
        <w:t xml:space="preserve">: The </w:t>
      </w:r>
      <w:r w:rsidR="00722021">
        <w:rPr>
          <w:rFonts w:ascii="Verdana" w:hAnsi="Verdana" w:cs="Times New Roman"/>
          <w:bCs/>
          <w:i/>
          <w:color w:val="000000"/>
          <w:sz w:val="20"/>
          <w:szCs w:val="20"/>
        </w:rPr>
        <w:t>F</w:t>
      </w:r>
      <w:r w:rsidRPr="003E6A8A">
        <w:rPr>
          <w:rFonts w:ascii="Verdana" w:hAnsi="Verdana" w:cs="Times New Roman"/>
          <w:bCs/>
          <w:i/>
          <w:color w:val="000000"/>
          <w:sz w:val="20"/>
          <w:szCs w:val="20"/>
        </w:rPr>
        <w:t xml:space="preserve">inancial </w:t>
      </w:r>
      <w:r w:rsidR="00722021">
        <w:rPr>
          <w:rFonts w:ascii="Verdana" w:hAnsi="Verdana" w:cs="Times New Roman"/>
          <w:bCs/>
          <w:i/>
          <w:color w:val="000000"/>
          <w:sz w:val="20"/>
          <w:szCs w:val="20"/>
        </w:rPr>
        <w:t>S</w:t>
      </w:r>
      <w:r w:rsidRPr="003E6A8A">
        <w:rPr>
          <w:rFonts w:ascii="Verdana" w:hAnsi="Verdana" w:cs="Times New Roman"/>
          <w:bCs/>
          <w:i/>
          <w:color w:val="000000"/>
          <w:sz w:val="20"/>
          <w:szCs w:val="20"/>
        </w:rPr>
        <w:t>tatement has not been prepared in accordance with the Grant Guideline</w:t>
      </w:r>
      <w:r w:rsidR="00722021">
        <w:rPr>
          <w:rFonts w:ascii="Verdana" w:hAnsi="Verdana" w:cs="Times New Roman"/>
          <w:bCs/>
          <w:i/>
          <w:color w:val="000000"/>
          <w:sz w:val="20"/>
          <w:szCs w:val="20"/>
        </w:rPr>
        <w:t>s</w:t>
      </w:r>
      <w:r w:rsidRPr="003E6A8A">
        <w:rPr>
          <w:rFonts w:ascii="Verdana" w:hAnsi="Verdana" w:cs="Times New Roman"/>
          <w:bCs/>
          <w:i/>
          <w:color w:val="000000"/>
          <w:sz w:val="20"/>
          <w:szCs w:val="20"/>
        </w:rPr>
        <w:t xml:space="preserve"> and is materially misstated. As a result, our Audit Report has been modified in this respect).</w:t>
      </w:r>
    </w:p>
    <w:p w14:paraId="0DD85595"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3F57F831"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2CD93915"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246FA6D5"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6055C41D" w14:textId="6BD2A252" w:rsidR="00025519" w:rsidRDefault="00025519" w:rsidP="001913CB">
      <w:pPr>
        <w:autoSpaceDE w:val="0"/>
        <w:autoSpaceDN w:val="0"/>
        <w:adjustRightInd w:val="0"/>
        <w:rPr>
          <w:rFonts w:ascii="Verdana" w:hAnsi="Verdana" w:cs="Times New Roman"/>
          <w:b/>
          <w:bCs/>
          <w:color w:val="000000"/>
          <w:sz w:val="20"/>
          <w:szCs w:val="20"/>
        </w:rPr>
      </w:pPr>
      <w:r>
        <w:rPr>
          <w:rFonts w:ascii="Verdana" w:hAnsi="Verdana" w:cs="Times New Roman"/>
          <w:b/>
          <w:bCs/>
          <w:color w:val="000000"/>
          <w:sz w:val="20"/>
          <w:szCs w:val="20"/>
        </w:rPr>
        <w:t>Auditor’</w:t>
      </w:r>
      <w:r w:rsidR="001913CB" w:rsidRPr="003E6A8A">
        <w:rPr>
          <w:rFonts w:ascii="Verdana" w:hAnsi="Verdana" w:cs="Times New Roman"/>
          <w:b/>
          <w:bCs/>
          <w:color w:val="000000"/>
          <w:sz w:val="20"/>
          <w:szCs w:val="20"/>
        </w:rPr>
        <w:t>s name:</w:t>
      </w:r>
    </w:p>
    <w:p w14:paraId="0AAA0A25" w14:textId="77777777" w:rsidR="00025519" w:rsidRDefault="00025519" w:rsidP="001913CB">
      <w:pPr>
        <w:autoSpaceDE w:val="0"/>
        <w:autoSpaceDN w:val="0"/>
        <w:adjustRightInd w:val="0"/>
        <w:rPr>
          <w:rFonts w:ascii="Verdana" w:hAnsi="Verdana" w:cs="Times New Roman"/>
          <w:b/>
          <w:bCs/>
          <w:color w:val="000000"/>
          <w:sz w:val="20"/>
          <w:szCs w:val="20"/>
        </w:rPr>
      </w:pPr>
    </w:p>
    <w:p w14:paraId="6A6008CD" w14:textId="4F742815" w:rsidR="001913CB" w:rsidRPr="003E6A8A" w:rsidRDefault="00025519" w:rsidP="001913CB">
      <w:pPr>
        <w:autoSpaceDE w:val="0"/>
        <w:autoSpaceDN w:val="0"/>
        <w:adjustRightInd w:val="0"/>
        <w:rPr>
          <w:rFonts w:ascii="Verdana" w:hAnsi="Verdana" w:cs="Times New Roman"/>
          <w:b/>
          <w:bCs/>
          <w:color w:val="000000"/>
          <w:sz w:val="20"/>
          <w:szCs w:val="20"/>
        </w:rPr>
      </w:pPr>
      <w:r>
        <w:rPr>
          <w:rFonts w:ascii="Verdana" w:hAnsi="Verdana" w:cs="Times New Roman"/>
          <w:b/>
          <w:bCs/>
          <w:color w:val="000000"/>
          <w:sz w:val="20"/>
          <w:szCs w:val="20"/>
        </w:rPr>
        <w:t>License number:</w:t>
      </w:r>
      <w:r w:rsidR="001913CB" w:rsidRPr="003E6A8A">
        <w:rPr>
          <w:rFonts w:ascii="Verdana" w:hAnsi="Verdana" w:cs="Times New Roman"/>
          <w:b/>
          <w:bCs/>
          <w:color w:val="000000"/>
          <w:sz w:val="20"/>
          <w:szCs w:val="20"/>
        </w:rPr>
        <w:t xml:space="preserve"> </w:t>
      </w:r>
    </w:p>
    <w:p w14:paraId="3853E5B7" w14:textId="77777777" w:rsidR="00025519" w:rsidRDefault="00025519" w:rsidP="001913CB">
      <w:pPr>
        <w:autoSpaceDE w:val="0"/>
        <w:autoSpaceDN w:val="0"/>
        <w:adjustRightInd w:val="0"/>
        <w:rPr>
          <w:rFonts w:ascii="Verdana" w:hAnsi="Verdana" w:cs="Times New Roman"/>
          <w:b/>
          <w:bCs/>
          <w:color w:val="000000"/>
          <w:sz w:val="20"/>
          <w:szCs w:val="20"/>
        </w:rPr>
      </w:pPr>
    </w:p>
    <w:p w14:paraId="013E8EFF" w14:textId="77777777" w:rsidR="001913CB" w:rsidRPr="003E6A8A" w:rsidRDefault="001913CB" w:rsidP="001913CB">
      <w:pPr>
        <w:autoSpaceDE w:val="0"/>
        <w:autoSpaceDN w:val="0"/>
        <w:adjustRightInd w:val="0"/>
        <w:rPr>
          <w:rFonts w:ascii="Verdana" w:hAnsi="Verdana" w:cs="Times New Roman"/>
          <w:b/>
          <w:bCs/>
          <w:color w:val="000000"/>
          <w:sz w:val="20"/>
          <w:szCs w:val="20"/>
        </w:rPr>
      </w:pPr>
      <w:r w:rsidRPr="003E6A8A">
        <w:rPr>
          <w:rFonts w:ascii="Verdana" w:hAnsi="Verdana" w:cs="Times New Roman"/>
          <w:b/>
          <w:bCs/>
          <w:color w:val="000000"/>
          <w:sz w:val="20"/>
          <w:szCs w:val="20"/>
        </w:rPr>
        <w:t>Date:</w:t>
      </w:r>
    </w:p>
    <w:p w14:paraId="29247222" w14:textId="621DEAA4" w:rsidR="00EA416B" w:rsidRDefault="00EA416B" w:rsidP="00EA416B">
      <w:pPr>
        <w:rPr>
          <w:rFonts w:ascii="Verdana" w:hAnsi="Verdana" w:cs="Arial"/>
          <w:i/>
          <w:szCs w:val="20"/>
        </w:rPr>
      </w:pPr>
    </w:p>
    <w:p w14:paraId="05A060C5" w14:textId="77777777" w:rsidR="00025519" w:rsidRDefault="00025519" w:rsidP="00EA416B">
      <w:pPr>
        <w:rPr>
          <w:rFonts w:ascii="Verdana" w:hAnsi="Verdana" w:cs="Arial"/>
          <w:i/>
          <w:szCs w:val="20"/>
        </w:rPr>
      </w:pPr>
    </w:p>
    <w:p w14:paraId="74AD1D63" w14:textId="77777777" w:rsidR="00025519" w:rsidRDefault="00025519" w:rsidP="00EA416B">
      <w:pPr>
        <w:rPr>
          <w:rFonts w:ascii="Verdana" w:hAnsi="Verdana" w:cs="Arial"/>
          <w:i/>
          <w:szCs w:val="20"/>
        </w:rPr>
      </w:pPr>
    </w:p>
    <w:p w14:paraId="1B7180EC" w14:textId="0B73461F" w:rsidR="00025519" w:rsidRPr="00025519" w:rsidRDefault="00025519" w:rsidP="00EA416B">
      <w:pPr>
        <w:rPr>
          <w:rFonts w:ascii="Verdana" w:hAnsi="Verdana" w:cs="Arial"/>
          <w:b/>
          <w:sz w:val="20"/>
          <w:szCs w:val="20"/>
        </w:rPr>
      </w:pPr>
      <w:r w:rsidRPr="00025519">
        <w:rPr>
          <w:rFonts w:ascii="Verdana" w:hAnsi="Verdana" w:cs="Arial"/>
          <w:b/>
          <w:sz w:val="20"/>
          <w:szCs w:val="20"/>
        </w:rPr>
        <w:t>Auditor’s signature:</w:t>
      </w:r>
    </w:p>
    <w:p w14:paraId="304D452B" w14:textId="77777777" w:rsidR="00025519" w:rsidRPr="00025519" w:rsidRDefault="00025519" w:rsidP="00EA416B">
      <w:pPr>
        <w:rPr>
          <w:rFonts w:ascii="Verdana" w:hAnsi="Verdana" w:cs="Arial"/>
          <w:b/>
          <w:sz w:val="20"/>
          <w:szCs w:val="20"/>
        </w:rPr>
      </w:pPr>
    </w:p>
    <w:p w14:paraId="1F63532C" w14:textId="5E7DF347" w:rsidR="00025519" w:rsidRPr="00025519" w:rsidRDefault="00025519" w:rsidP="00EA416B">
      <w:pPr>
        <w:rPr>
          <w:rFonts w:ascii="Verdana" w:hAnsi="Verdana" w:cs="Arial"/>
          <w:b/>
          <w:sz w:val="20"/>
          <w:szCs w:val="20"/>
        </w:rPr>
      </w:pPr>
      <w:r w:rsidRPr="00025519">
        <w:rPr>
          <w:rFonts w:ascii="Verdana" w:hAnsi="Verdana" w:cs="Arial"/>
          <w:b/>
          <w:sz w:val="20"/>
          <w:szCs w:val="20"/>
        </w:rPr>
        <w:t>Auditor’s stamp:</w:t>
      </w:r>
    </w:p>
    <w:p w14:paraId="5AFAECB4" w14:textId="77777777" w:rsidR="006C6FFB" w:rsidRDefault="006C6FFB" w:rsidP="006C6FFB">
      <w:pPr>
        <w:pStyle w:val="Heading1"/>
        <w:rPr>
          <w:lang w:val="en-GB"/>
        </w:rPr>
      </w:pPr>
    </w:p>
    <w:p w14:paraId="4A1D515A" w14:textId="77777777" w:rsidR="00814764" w:rsidRPr="00814764" w:rsidRDefault="00814764" w:rsidP="00814764">
      <w:pPr>
        <w:rPr>
          <w:lang w:val="en-GB"/>
        </w:rPr>
      </w:pPr>
    </w:p>
    <w:p w14:paraId="69F0F87A" w14:textId="77777777" w:rsidR="001913CB" w:rsidRDefault="001913CB" w:rsidP="006C6FFB">
      <w:pPr>
        <w:pStyle w:val="Heading1"/>
        <w:rPr>
          <w:lang w:val="en-GB"/>
        </w:rPr>
        <w:sectPr w:rsidR="001913CB" w:rsidSect="008827D0">
          <w:headerReference w:type="first" r:id="rId14"/>
          <w:pgSz w:w="16838" w:h="11906" w:orient="landscape" w:code="9"/>
          <w:pgMar w:top="1418" w:right="1985" w:bottom="1134" w:left="1134" w:header="680" w:footer="567" w:gutter="0"/>
          <w:cols w:space="284"/>
          <w:docGrid w:linePitch="360"/>
        </w:sectPr>
      </w:pPr>
    </w:p>
    <w:p w14:paraId="37C6A6D4" w14:textId="5C076A9F" w:rsidR="006C6FFB" w:rsidRDefault="006C6FFB" w:rsidP="006C6FFB">
      <w:pPr>
        <w:pStyle w:val="Heading1"/>
        <w:rPr>
          <w:lang w:val="en-GB"/>
        </w:rPr>
      </w:pPr>
      <w:bookmarkStart w:id="1" w:name="_Toc481486099"/>
      <w:r>
        <w:rPr>
          <w:lang w:val="en-GB"/>
        </w:rPr>
        <w:lastRenderedPageBreak/>
        <w:t>ANNEX 2</w:t>
      </w:r>
      <w:r w:rsidRPr="00EA60BB">
        <w:rPr>
          <w:lang w:val="en-GB"/>
        </w:rPr>
        <w:t xml:space="preserve"> </w:t>
      </w:r>
      <w:r>
        <w:rPr>
          <w:lang w:val="en-GB"/>
        </w:rPr>
        <w:t>–</w:t>
      </w:r>
      <w:r w:rsidRPr="00EA60BB">
        <w:rPr>
          <w:lang w:val="en-GB"/>
        </w:rPr>
        <w:t xml:space="preserve"> </w:t>
      </w:r>
      <w:r>
        <w:rPr>
          <w:lang w:val="en-GB"/>
        </w:rPr>
        <w:t>FINANCIAL STATEMENT</w:t>
      </w:r>
      <w:bookmarkEnd w:id="1"/>
      <w:r>
        <w:rPr>
          <w:lang w:val="en-GB"/>
        </w:rPr>
        <w:t xml:space="preserve"> </w:t>
      </w:r>
    </w:p>
    <w:p w14:paraId="76A35788" w14:textId="207E9893" w:rsidR="00395412" w:rsidRDefault="00962C81" w:rsidP="00962C81">
      <w:pPr>
        <w:jc w:val="center"/>
        <w:rPr>
          <w:b/>
          <w:sz w:val="22"/>
          <w:lang w:val="en-GB"/>
        </w:rPr>
      </w:pPr>
      <w:r w:rsidRPr="00962C81">
        <w:rPr>
          <w:b/>
          <w:sz w:val="22"/>
          <w:lang w:val="en-GB"/>
        </w:rPr>
        <w:t>FINANCIAL STATEMENT</w:t>
      </w:r>
    </w:p>
    <w:p w14:paraId="47B75F9E" w14:textId="77777777" w:rsidR="008827D0" w:rsidRDefault="008827D0" w:rsidP="00962C81">
      <w:pPr>
        <w:jc w:val="center"/>
        <w:rPr>
          <w:b/>
          <w:sz w:val="22"/>
          <w:lang w:val="en-GB"/>
        </w:rPr>
      </w:pPr>
    </w:p>
    <w:p w14:paraId="60DC1DDE" w14:textId="77777777" w:rsidR="008827D0" w:rsidRDefault="008827D0" w:rsidP="00962C81">
      <w:pPr>
        <w:jc w:val="center"/>
        <w:rPr>
          <w:b/>
          <w:sz w:val="22"/>
          <w:lang w:val="en-GB"/>
        </w:rPr>
      </w:pPr>
    </w:p>
    <w:p w14:paraId="7772B5F2" w14:textId="5368623C" w:rsidR="008827D0" w:rsidRDefault="00025519" w:rsidP="00962C81">
      <w:pPr>
        <w:jc w:val="center"/>
        <w:rPr>
          <w:b/>
          <w:color w:val="FF0000"/>
          <w:sz w:val="22"/>
          <w:lang w:val="en-GB"/>
        </w:rPr>
      </w:pPr>
      <w:r>
        <w:rPr>
          <w:b/>
          <w:color w:val="FF0000"/>
          <w:sz w:val="22"/>
          <w:lang w:val="en-GB"/>
        </w:rPr>
        <w:t>The filled out Financial Statement is an official annex of the Audit Report. The editable version is available on the website of the Fund.</w:t>
      </w:r>
    </w:p>
    <w:p w14:paraId="05A62F11" w14:textId="77777777" w:rsidR="00025519" w:rsidRDefault="00025519" w:rsidP="00962C81">
      <w:pPr>
        <w:jc w:val="center"/>
        <w:rPr>
          <w:b/>
          <w:color w:val="FF0000"/>
          <w:sz w:val="22"/>
          <w:lang w:val="en-GB"/>
        </w:rPr>
      </w:pPr>
    </w:p>
    <w:p w14:paraId="668D8770" w14:textId="5E91C640" w:rsidR="00025519" w:rsidRDefault="00025519" w:rsidP="00962C81">
      <w:pPr>
        <w:jc w:val="center"/>
        <w:rPr>
          <w:b/>
          <w:color w:val="FF0000"/>
          <w:sz w:val="22"/>
          <w:lang w:val="en-GB"/>
        </w:rPr>
      </w:pPr>
      <w:r>
        <w:rPr>
          <w:b/>
          <w:color w:val="FF0000"/>
          <w:sz w:val="22"/>
          <w:lang w:val="en-GB"/>
        </w:rPr>
        <w:t>Please note that the Audit Report is incomplete without the signed and stamped Financial Statement.</w:t>
      </w:r>
    </w:p>
    <w:p w14:paraId="1887224B" w14:textId="77777777" w:rsidR="00025519" w:rsidRDefault="00025519" w:rsidP="00962C81">
      <w:pPr>
        <w:jc w:val="center"/>
        <w:rPr>
          <w:b/>
          <w:color w:val="FF0000"/>
          <w:sz w:val="22"/>
          <w:lang w:val="en-GB"/>
        </w:rPr>
      </w:pPr>
    </w:p>
    <w:p w14:paraId="133B4D0C" w14:textId="3D42F83F" w:rsidR="00025519" w:rsidRDefault="00025519" w:rsidP="00962C81">
      <w:pPr>
        <w:jc w:val="center"/>
        <w:rPr>
          <w:b/>
          <w:sz w:val="22"/>
          <w:lang w:val="en-GB"/>
        </w:rPr>
      </w:pPr>
      <w:r>
        <w:rPr>
          <w:b/>
          <w:sz w:val="22"/>
          <w:lang w:val="en-GB"/>
        </w:rPr>
        <w:t>The Financial Statement consists of the Summary Table and the Financial Settlement. Both sheets must be filled out and controlled by the auditor.</w:t>
      </w:r>
    </w:p>
    <w:p w14:paraId="47A18454" w14:textId="2D684E83" w:rsidR="00EB3393" w:rsidRPr="00025519" w:rsidRDefault="00EB3393" w:rsidP="00025519">
      <w:pPr>
        <w:spacing w:after="200" w:line="276" w:lineRule="auto"/>
        <w:rPr>
          <w:lang w:val="en-GB"/>
        </w:rPr>
      </w:pPr>
    </w:p>
    <w:sectPr w:rsidR="00EB3393" w:rsidRPr="00025519" w:rsidSect="008827D0">
      <w:headerReference w:type="first" r:id="rId15"/>
      <w:pgSz w:w="16838" w:h="11906" w:orient="landscape" w:code="9"/>
      <w:pgMar w:top="1418" w:right="1985" w:bottom="1134" w:left="1134" w:header="680"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FDDA" w14:textId="77777777" w:rsidR="003206CA" w:rsidRDefault="003206CA" w:rsidP="00C702C7">
      <w:r>
        <w:separator/>
      </w:r>
    </w:p>
  </w:endnote>
  <w:endnote w:type="continuationSeparator" w:id="0">
    <w:p w14:paraId="18DA56BE" w14:textId="77777777" w:rsidR="003206CA" w:rsidRDefault="003206CA" w:rsidP="00C7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712420"/>
      <w:docPartObj>
        <w:docPartGallery w:val="Page Numbers (Bottom of Page)"/>
        <w:docPartUnique/>
      </w:docPartObj>
    </w:sdtPr>
    <w:sdtEndPr/>
    <w:sdtContent>
      <w:sdt>
        <w:sdtPr>
          <w:id w:val="-1669238322"/>
          <w:docPartObj>
            <w:docPartGallery w:val="Page Numbers (Top of Page)"/>
            <w:docPartUnique/>
          </w:docPartObj>
        </w:sdtPr>
        <w:sdtEndPr/>
        <w:sdtContent>
          <w:p w14:paraId="39EE6F58" w14:textId="24C93243" w:rsidR="00D01883" w:rsidRDefault="00D018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F420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4201">
              <w:rPr>
                <w:b/>
                <w:bCs/>
                <w:noProof/>
              </w:rPr>
              <w:t>6</w:t>
            </w:r>
            <w:r>
              <w:rPr>
                <w:b/>
                <w:bCs/>
                <w:sz w:val="24"/>
                <w:szCs w:val="24"/>
              </w:rPr>
              <w:fldChar w:fldCharType="end"/>
            </w:r>
          </w:p>
        </w:sdtContent>
      </w:sdt>
    </w:sdtContent>
  </w:sdt>
  <w:p w14:paraId="3BB86E4D" w14:textId="77777777" w:rsidR="008827D0" w:rsidRDefault="00882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521090"/>
      <w:docPartObj>
        <w:docPartGallery w:val="Page Numbers (Bottom of Page)"/>
        <w:docPartUnique/>
      </w:docPartObj>
    </w:sdtPr>
    <w:sdtEndPr>
      <w:rPr>
        <w:noProof/>
      </w:rPr>
    </w:sdtEndPr>
    <w:sdtContent>
      <w:p w14:paraId="04062C23" w14:textId="283DE3EE" w:rsidR="009D128C" w:rsidRDefault="009D128C">
        <w:pPr>
          <w:pStyle w:val="Footer"/>
          <w:jc w:val="right"/>
        </w:pPr>
        <w:r>
          <w:fldChar w:fldCharType="begin"/>
        </w:r>
        <w:r>
          <w:instrText xml:space="preserve"> PAGE   \* MERGEFORMAT </w:instrText>
        </w:r>
        <w:r>
          <w:fldChar w:fldCharType="separate"/>
        </w:r>
        <w:r w:rsidR="008827D0">
          <w:rPr>
            <w:noProof/>
          </w:rPr>
          <w:t>8</w:t>
        </w:r>
        <w:r>
          <w:rPr>
            <w:noProof/>
          </w:rPr>
          <w:fldChar w:fldCharType="end"/>
        </w:r>
      </w:p>
    </w:sdtContent>
  </w:sdt>
  <w:p w14:paraId="7663F071" w14:textId="77777777" w:rsidR="009D128C" w:rsidRPr="00904097" w:rsidRDefault="009D128C" w:rsidP="00904097">
    <w:pPr>
      <w:pStyle w:val="Footer"/>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DE56" w14:textId="77777777" w:rsidR="003206CA" w:rsidRDefault="003206CA" w:rsidP="00C702C7">
      <w:r>
        <w:separator/>
      </w:r>
    </w:p>
  </w:footnote>
  <w:footnote w:type="continuationSeparator" w:id="0">
    <w:p w14:paraId="2ADDA49F" w14:textId="77777777" w:rsidR="003206CA" w:rsidRDefault="003206CA" w:rsidP="00C702C7">
      <w:r>
        <w:continuationSeparator/>
      </w:r>
    </w:p>
  </w:footnote>
  <w:footnote w:id="1">
    <w:p w14:paraId="58007D0A" w14:textId="77777777" w:rsidR="009D128C" w:rsidRPr="00157593" w:rsidRDefault="009D128C" w:rsidP="001913CB">
      <w:pPr>
        <w:pStyle w:val="FootnoteText"/>
        <w:rPr>
          <w:lang w:val="sk-SK"/>
        </w:rPr>
      </w:pPr>
      <w:r>
        <w:rPr>
          <w:rStyle w:val="FootnoteReference"/>
        </w:rPr>
        <w:footnoteRef/>
      </w:r>
      <w:r>
        <w:t xml:space="preserve"> Any answer No has to be explained further in the Note column.</w:t>
      </w:r>
    </w:p>
  </w:footnote>
  <w:footnote w:id="2">
    <w:p w14:paraId="25C9CF83" w14:textId="2872F387" w:rsidR="009D128C" w:rsidRDefault="009D128C" w:rsidP="001913CB">
      <w:pPr>
        <w:pStyle w:val="FootnoteText"/>
      </w:pPr>
      <w:r>
        <w:rPr>
          <w:rStyle w:val="FootnoteReference"/>
        </w:rPr>
        <w:footnoteRef/>
      </w:r>
      <w:r>
        <w:t xml:space="preserve"> Audit costs have to be stated in the Final Settlement together with the note that it will be paid after the end of the Implementation Period (or date when it is expected to be paid) if not already paid before.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59B8" w14:textId="047529FA" w:rsidR="009D128C" w:rsidRPr="008827D0" w:rsidRDefault="00BC798B" w:rsidP="008827D0">
    <w:pPr>
      <w:pStyle w:val="Documenttitle"/>
      <w:pBdr>
        <w:bottom w:val="single" w:sz="4" w:space="1" w:color="auto"/>
      </w:pBdr>
      <w:tabs>
        <w:tab w:val="left" w:pos="930"/>
        <w:tab w:val="center" w:pos="4677"/>
      </w:tabs>
      <w:rPr>
        <w:color w:val="auto"/>
        <w:sz w:val="18"/>
        <w:szCs w:val="18"/>
      </w:rPr>
    </w:pPr>
    <w:r>
      <w:rPr>
        <w:color w:val="auto"/>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A8DA" w14:textId="6CCA6DFA" w:rsidR="009D128C" w:rsidRPr="001913CB" w:rsidRDefault="009D128C"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3301D413" w14:textId="77777777" w:rsidR="009D128C" w:rsidRDefault="009D1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5D43" w14:textId="77777777" w:rsidR="006933DD" w:rsidRPr="001913CB" w:rsidRDefault="006933DD"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6EA8BD49" w14:textId="77777777" w:rsidR="006933DD" w:rsidRDefault="0069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BD00BCA"/>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628AC026"/>
    <w:lvl w:ilvl="0">
      <w:start w:val="1"/>
      <w:numFmt w:val="bullet"/>
      <w:lvlText w:val="‒"/>
      <w:lvlJc w:val="left"/>
      <w:pPr>
        <w:ind w:left="587" w:hanging="360"/>
      </w:pPr>
      <w:rPr>
        <w:rFonts w:ascii="Calibri" w:hAnsi="Calibri" w:hint="default"/>
      </w:rPr>
    </w:lvl>
  </w:abstractNum>
  <w:abstractNum w:abstractNumId="2" w15:restartNumberingAfterBreak="0">
    <w:nsid w:val="FFFFFF88"/>
    <w:multiLevelType w:val="singleLevel"/>
    <w:tmpl w:val="423088D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FE42FE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9"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E6221"/>
    <w:multiLevelType w:val="hybridMultilevel"/>
    <w:tmpl w:val="0D9A2546"/>
    <w:lvl w:ilvl="0" w:tplc="3ED26A9E">
      <w:start w:val="1"/>
      <w:numFmt w:val="bullet"/>
      <w:pStyle w:val="Style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sz w:val="24"/>
        <w:szCs w:val="28"/>
      </w:rPr>
    </w:lvl>
    <w:lvl w:ilvl="2" w:tplc="1690FD1E">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67F52"/>
    <w:multiLevelType w:val="hybridMultilevel"/>
    <w:tmpl w:val="A15E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6"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8"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5A17B8"/>
    <w:multiLevelType w:val="hybridMultilevel"/>
    <w:tmpl w:val="E306D808"/>
    <w:lvl w:ilvl="0" w:tplc="0CF4511A">
      <w:start w:val="1"/>
      <w:numFmt w:val="decimal"/>
      <w:lvlText w:val="%1."/>
      <w:lvlJc w:val="left"/>
      <w:pPr>
        <w:ind w:left="720" w:hanging="360"/>
      </w:pPr>
      <w:rPr>
        <w:rFonts w:hint="default"/>
        <w:b/>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832F2"/>
    <w:multiLevelType w:val="hybridMultilevel"/>
    <w:tmpl w:val="A5CC269E"/>
    <w:lvl w:ilvl="0" w:tplc="472A6DD2">
      <w:start w:val="1"/>
      <w:numFmt w:val="decimal"/>
      <w:lvlText w:val="%1."/>
      <w:lvlJc w:val="left"/>
      <w:pPr>
        <w:ind w:left="-270" w:hanging="360"/>
      </w:pPr>
      <w:rPr>
        <w:rFonts w:hint="default"/>
        <w:b/>
        <w:sz w:val="22"/>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3"/>
  </w:num>
  <w:num w:numId="2">
    <w:abstractNumId w:val="1"/>
  </w:num>
  <w:num w:numId="3">
    <w:abstractNumId w:val="2"/>
  </w:num>
  <w:num w:numId="4">
    <w:abstractNumId w:val="0"/>
  </w:num>
  <w:num w:numId="5">
    <w:abstractNumId w:val="10"/>
  </w:num>
  <w:num w:numId="6">
    <w:abstractNumId w:val="17"/>
  </w:num>
  <w:num w:numId="7">
    <w:abstractNumId w:val="17"/>
    <w:lvlOverride w:ilvl="0">
      <w:startOverride w:val="1"/>
    </w:lvlOverride>
  </w:num>
  <w:num w:numId="8">
    <w:abstractNumId w:val="15"/>
  </w:num>
  <w:num w:numId="9">
    <w:abstractNumId w:val="16"/>
  </w:num>
  <w:num w:numId="10">
    <w:abstractNumId w:val="7"/>
  </w:num>
  <w:num w:numId="11">
    <w:abstractNumId w:val="8"/>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14"/>
  </w:num>
  <w:num w:numId="18">
    <w:abstractNumId w:val="6"/>
  </w:num>
  <w:num w:numId="19">
    <w:abstractNumId w:val="11"/>
  </w:num>
  <w:num w:numId="20">
    <w:abstractNumId w:val="4"/>
  </w:num>
  <w:num w:numId="21">
    <w:abstractNumId w:val="12"/>
  </w:num>
  <w:num w:numId="22">
    <w:abstractNumId w:val="2"/>
    <w:lvlOverride w:ilvl="0">
      <w:startOverride w:val="1"/>
    </w:lvlOverride>
  </w:num>
  <w:num w:numId="23">
    <w:abstractNumId w:val="2"/>
    <w:lvlOverride w:ilvl="0">
      <w:startOverride w:val="1"/>
    </w:lvlOverride>
  </w:num>
  <w:num w:numId="24">
    <w:abstractNumId w:val="2"/>
  </w:num>
  <w:num w:numId="25">
    <w:abstractNumId w:val="3"/>
  </w:num>
  <w:num w:numId="26">
    <w:abstractNumId w:val="13"/>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824"/>
    <w:rsid w:val="000005FE"/>
    <w:rsid w:val="000131A3"/>
    <w:rsid w:val="00014B89"/>
    <w:rsid w:val="000173B3"/>
    <w:rsid w:val="00020D44"/>
    <w:rsid w:val="00021A39"/>
    <w:rsid w:val="00025519"/>
    <w:rsid w:val="00025E7D"/>
    <w:rsid w:val="0002758D"/>
    <w:rsid w:val="00030DFE"/>
    <w:rsid w:val="00035DBA"/>
    <w:rsid w:val="00037C17"/>
    <w:rsid w:val="00040428"/>
    <w:rsid w:val="00041DB4"/>
    <w:rsid w:val="000429AC"/>
    <w:rsid w:val="00042B6A"/>
    <w:rsid w:val="00042B99"/>
    <w:rsid w:val="000516C4"/>
    <w:rsid w:val="000517C0"/>
    <w:rsid w:val="00061444"/>
    <w:rsid w:val="000637A6"/>
    <w:rsid w:val="00066BBA"/>
    <w:rsid w:val="00071509"/>
    <w:rsid w:val="00071F19"/>
    <w:rsid w:val="000763C3"/>
    <w:rsid w:val="00083DD5"/>
    <w:rsid w:val="00091614"/>
    <w:rsid w:val="00092341"/>
    <w:rsid w:val="00094F8E"/>
    <w:rsid w:val="000A7F05"/>
    <w:rsid w:val="000B6C05"/>
    <w:rsid w:val="000C20BD"/>
    <w:rsid w:val="000C2B24"/>
    <w:rsid w:val="000C5EA5"/>
    <w:rsid w:val="000D2DE0"/>
    <w:rsid w:val="000E2C94"/>
    <w:rsid w:val="000E4AA4"/>
    <w:rsid w:val="000F5C22"/>
    <w:rsid w:val="0010113D"/>
    <w:rsid w:val="0010462B"/>
    <w:rsid w:val="00111011"/>
    <w:rsid w:val="00123AD3"/>
    <w:rsid w:val="00124175"/>
    <w:rsid w:val="001265CF"/>
    <w:rsid w:val="00130191"/>
    <w:rsid w:val="001354FD"/>
    <w:rsid w:val="00135844"/>
    <w:rsid w:val="00136294"/>
    <w:rsid w:val="001377F5"/>
    <w:rsid w:val="001405C7"/>
    <w:rsid w:val="001446D0"/>
    <w:rsid w:val="001457BC"/>
    <w:rsid w:val="001478CC"/>
    <w:rsid w:val="00157041"/>
    <w:rsid w:val="00157BD7"/>
    <w:rsid w:val="0016019D"/>
    <w:rsid w:val="00163881"/>
    <w:rsid w:val="001639A0"/>
    <w:rsid w:val="001659E4"/>
    <w:rsid w:val="001708B9"/>
    <w:rsid w:val="00170A83"/>
    <w:rsid w:val="0017280D"/>
    <w:rsid w:val="001757CE"/>
    <w:rsid w:val="00175F03"/>
    <w:rsid w:val="00180ABD"/>
    <w:rsid w:val="00180BDA"/>
    <w:rsid w:val="0018108F"/>
    <w:rsid w:val="00186FC8"/>
    <w:rsid w:val="001913CB"/>
    <w:rsid w:val="001975EF"/>
    <w:rsid w:val="0019765A"/>
    <w:rsid w:val="001A45CF"/>
    <w:rsid w:val="001A5CC6"/>
    <w:rsid w:val="001B0F94"/>
    <w:rsid w:val="001B5C19"/>
    <w:rsid w:val="001C4334"/>
    <w:rsid w:val="001C7EC3"/>
    <w:rsid w:val="001D03A7"/>
    <w:rsid w:val="001D1B70"/>
    <w:rsid w:val="001E016B"/>
    <w:rsid w:val="001E1D72"/>
    <w:rsid w:val="001E7D3E"/>
    <w:rsid w:val="001F0948"/>
    <w:rsid w:val="001F31AD"/>
    <w:rsid w:val="001F38BE"/>
    <w:rsid w:val="001F4201"/>
    <w:rsid w:val="001F61B8"/>
    <w:rsid w:val="001F6839"/>
    <w:rsid w:val="00204CBA"/>
    <w:rsid w:val="00211AB1"/>
    <w:rsid w:val="00212852"/>
    <w:rsid w:val="00216CF6"/>
    <w:rsid w:val="00220CCF"/>
    <w:rsid w:val="00227F1F"/>
    <w:rsid w:val="00231B44"/>
    <w:rsid w:val="002340B6"/>
    <w:rsid w:val="00234BA2"/>
    <w:rsid w:val="00235582"/>
    <w:rsid w:val="002370AB"/>
    <w:rsid w:val="00237872"/>
    <w:rsid w:val="00244010"/>
    <w:rsid w:val="00252875"/>
    <w:rsid w:val="00253D2A"/>
    <w:rsid w:val="00255D53"/>
    <w:rsid w:val="00257304"/>
    <w:rsid w:val="002678EB"/>
    <w:rsid w:val="00285090"/>
    <w:rsid w:val="002911D1"/>
    <w:rsid w:val="002930B2"/>
    <w:rsid w:val="00294BBA"/>
    <w:rsid w:val="00295B52"/>
    <w:rsid w:val="00297214"/>
    <w:rsid w:val="002B2376"/>
    <w:rsid w:val="002B383F"/>
    <w:rsid w:val="002B4054"/>
    <w:rsid w:val="002B4D02"/>
    <w:rsid w:val="002B6D2E"/>
    <w:rsid w:val="002C5FEA"/>
    <w:rsid w:val="002C690A"/>
    <w:rsid w:val="002C6F50"/>
    <w:rsid w:val="002D41F7"/>
    <w:rsid w:val="002D4F2D"/>
    <w:rsid w:val="002D642E"/>
    <w:rsid w:val="002E0824"/>
    <w:rsid w:val="002E1C00"/>
    <w:rsid w:val="002E4302"/>
    <w:rsid w:val="002E7099"/>
    <w:rsid w:val="002F2771"/>
    <w:rsid w:val="00301824"/>
    <w:rsid w:val="003033A9"/>
    <w:rsid w:val="003121C1"/>
    <w:rsid w:val="003206CA"/>
    <w:rsid w:val="0032373B"/>
    <w:rsid w:val="00323A83"/>
    <w:rsid w:val="00325054"/>
    <w:rsid w:val="00331D1F"/>
    <w:rsid w:val="00337680"/>
    <w:rsid w:val="003449B0"/>
    <w:rsid w:val="00350763"/>
    <w:rsid w:val="00351249"/>
    <w:rsid w:val="0035144C"/>
    <w:rsid w:val="0035787C"/>
    <w:rsid w:val="00357E4F"/>
    <w:rsid w:val="00375EB8"/>
    <w:rsid w:val="00377AE4"/>
    <w:rsid w:val="003863C7"/>
    <w:rsid w:val="0039181B"/>
    <w:rsid w:val="003923FD"/>
    <w:rsid w:val="00395412"/>
    <w:rsid w:val="003A4891"/>
    <w:rsid w:val="003A494E"/>
    <w:rsid w:val="003A7534"/>
    <w:rsid w:val="003A75F1"/>
    <w:rsid w:val="003B3379"/>
    <w:rsid w:val="003B3C47"/>
    <w:rsid w:val="003B3F96"/>
    <w:rsid w:val="003B7522"/>
    <w:rsid w:val="003C12AF"/>
    <w:rsid w:val="003C4BE4"/>
    <w:rsid w:val="003C4DE4"/>
    <w:rsid w:val="003C6945"/>
    <w:rsid w:val="003D1A80"/>
    <w:rsid w:val="003E138D"/>
    <w:rsid w:val="003E1820"/>
    <w:rsid w:val="003E49BA"/>
    <w:rsid w:val="003F057A"/>
    <w:rsid w:val="003F12A1"/>
    <w:rsid w:val="003F2224"/>
    <w:rsid w:val="00404297"/>
    <w:rsid w:val="004052BC"/>
    <w:rsid w:val="004066C3"/>
    <w:rsid w:val="00412EA0"/>
    <w:rsid w:val="004314E1"/>
    <w:rsid w:val="00432002"/>
    <w:rsid w:val="0044117C"/>
    <w:rsid w:val="0044366A"/>
    <w:rsid w:val="0044558B"/>
    <w:rsid w:val="004509E3"/>
    <w:rsid w:val="00451AD9"/>
    <w:rsid w:val="004653D0"/>
    <w:rsid w:val="00472CA1"/>
    <w:rsid w:val="00473614"/>
    <w:rsid w:val="00475F75"/>
    <w:rsid w:val="00475FE7"/>
    <w:rsid w:val="004772EF"/>
    <w:rsid w:val="004860A3"/>
    <w:rsid w:val="00486736"/>
    <w:rsid w:val="004A0DCC"/>
    <w:rsid w:val="004A3ABE"/>
    <w:rsid w:val="004A6C6D"/>
    <w:rsid w:val="004B4E08"/>
    <w:rsid w:val="004C1481"/>
    <w:rsid w:val="004C2616"/>
    <w:rsid w:val="004D159E"/>
    <w:rsid w:val="004D1F57"/>
    <w:rsid w:val="004D49FC"/>
    <w:rsid w:val="004D5F00"/>
    <w:rsid w:val="004D69C6"/>
    <w:rsid w:val="004E1329"/>
    <w:rsid w:val="004F2E0E"/>
    <w:rsid w:val="004F47B4"/>
    <w:rsid w:val="004F4A4B"/>
    <w:rsid w:val="004F7927"/>
    <w:rsid w:val="005011F7"/>
    <w:rsid w:val="00501EFF"/>
    <w:rsid w:val="005050B2"/>
    <w:rsid w:val="00511AEE"/>
    <w:rsid w:val="00520255"/>
    <w:rsid w:val="00526863"/>
    <w:rsid w:val="005270F9"/>
    <w:rsid w:val="005277CB"/>
    <w:rsid w:val="00530ABF"/>
    <w:rsid w:val="00531395"/>
    <w:rsid w:val="00535A52"/>
    <w:rsid w:val="00541B19"/>
    <w:rsid w:val="00542505"/>
    <w:rsid w:val="00543BA8"/>
    <w:rsid w:val="00544D24"/>
    <w:rsid w:val="00563C6F"/>
    <w:rsid w:val="00564F21"/>
    <w:rsid w:val="00573556"/>
    <w:rsid w:val="00573D2F"/>
    <w:rsid w:val="005754AF"/>
    <w:rsid w:val="005843DE"/>
    <w:rsid w:val="00591757"/>
    <w:rsid w:val="00593BF7"/>
    <w:rsid w:val="00595A9D"/>
    <w:rsid w:val="005967D7"/>
    <w:rsid w:val="0059682F"/>
    <w:rsid w:val="005969FB"/>
    <w:rsid w:val="005A555D"/>
    <w:rsid w:val="005B6B53"/>
    <w:rsid w:val="005C1718"/>
    <w:rsid w:val="005D5512"/>
    <w:rsid w:val="005E149D"/>
    <w:rsid w:val="005E3501"/>
    <w:rsid w:val="005F0C19"/>
    <w:rsid w:val="005F3D7B"/>
    <w:rsid w:val="005F525A"/>
    <w:rsid w:val="005F54F5"/>
    <w:rsid w:val="005F68FD"/>
    <w:rsid w:val="005F74C0"/>
    <w:rsid w:val="00605199"/>
    <w:rsid w:val="006064A8"/>
    <w:rsid w:val="00624C5E"/>
    <w:rsid w:val="00626FD8"/>
    <w:rsid w:val="00633CE9"/>
    <w:rsid w:val="0063573A"/>
    <w:rsid w:val="006410F1"/>
    <w:rsid w:val="006464CD"/>
    <w:rsid w:val="00650D85"/>
    <w:rsid w:val="006528C9"/>
    <w:rsid w:val="00657145"/>
    <w:rsid w:val="00665E13"/>
    <w:rsid w:val="006673E8"/>
    <w:rsid w:val="00671EC0"/>
    <w:rsid w:val="00676F48"/>
    <w:rsid w:val="0067770B"/>
    <w:rsid w:val="00681128"/>
    <w:rsid w:val="00686056"/>
    <w:rsid w:val="00691C32"/>
    <w:rsid w:val="006933DD"/>
    <w:rsid w:val="00697428"/>
    <w:rsid w:val="006A473D"/>
    <w:rsid w:val="006B0513"/>
    <w:rsid w:val="006B0C4C"/>
    <w:rsid w:val="006B16E0"/>
    <w:rsid w:val="006B24BB"/>
    <w:rsid w:val="006B30D1"/>
    <w:rsid w:val="006B4816"/>
    <w:rsid w:val="006C5AD3"/>
    <w:rsid w:val="006C5F8A"/>
    <w:rsid w:val="006C617F"/>
    <w:rsid w:val="006C6FFB"/>
    <w:rsid w:val="006D03D2"/>
    <w:rsid w:val="006D6A17"/>
    <w:rsid w:val="00705766"/>
    <w:rsid w:val="007172D9"/>
    <w:rsid w:val="007205D1"/>
    <w:rsid w:val="00720888"/>
    <w:rsid w:val="0072138D"/>
    <w:rsid w:val="00722021"/>
    <w:rsid w:val="00722375"/>
    <w:rsid w:val="0072746D"/>
    <w:rsid w:val="007312AA"/>
    <w:rsid w:val="007342AA"/>
    <w:rsid w:val="00734A52"/>
    <w:rsid w:val="00734C1B"/>
    <w:rsid w:val="007460A4"/>
    <w:rsid w:val="00750D3B"/>
    <w:rsid w:val="007516F0"/>
    <w:rsid w:val="00753A99"/>
    <w:rsid w:val="007550AB"/>
    <w:rsid w:val="007604FB"/>
    <w:rsid w:val="007653DA"/>
    <w:rsid w:val="0076614E"/>
    <w:rsid w:val="00773725"/>
    <w:rsid w:val="00775EC2"/>
    <w:rsid w:val="00780581"/>
    <w:rsid w:val="00784EB7"/>
    <w:rsid w:val="00792ABE"/>
    <w:rsid w:val="00792C12"/>
    <w:rsid w:val="0079305A"/>
    <w:rsid w:val="007A1421"/>
    <w:rsid w:val="007A49F1"/>
    <w:rsid w:val="007B0831"/>
    <w:rsid w:val="007B29C4"/>
    <w:rsid w:val="007B2FB1"/>
    <w:rsid w:val="007C008A"/>
    <w:rsid w:val="007C0C20"/>
    <w:rsid w:val="007C7944"/>
    <w:rsid w:val="007C7C55"/>
    <w:rsid w:val="007D4681"/>
    <w:rsid w:val="007D5B3C"/>
    <w:rsid w:val="007E03C0"/>
    <w:rsid w:val="007E2034"/>
    <w:rsid w:val="007E2836"/>
    <w:rsid w:val="007E568A"/>
    <w:rsid w:val="007F0D03"/>
    <w:rsid w:val="007F4828"/>
    <w:rsid w:val="008005C8"/>
    <w:rsid w:val="008006BE"/>
    <w:rsid w:val="00802289"/>
    <w:rsid w:val="0080397A"/>
    <w:rsid w:val="00807054"/>
    <w:rsid w:val="0080728A"/>
    <w:rsid w:val="008073B3"/>
    <w:rsid w:val="00813DBC"/>
    <w:rsid w:val="00813F7A"/>
    <w:rsid w:val="00814764"/>
    <w:rsid w:val="00814FAB"/>
    <w:rsid w:val="0081540F"/>
    <w:rsid w:val="00821F18"/>
    <w:rsid w:val="00822995"/>
    <w:rsid w:val="00822FC7"/>
    <w:rsid w:val="00825CB7"/>
    <w:rsid w:val="00842041"/>
    <w:rsid w:val="00850F72"/>
    <w:rsid w:val="00855A9A"/>
    <w:rsid w:val="00856A0E"/>
    <w:rsid w:val="008621A5"/>
    <w:rsid w:val="008631CE"/>
    <w:rsid w:val="0086443E"/>
    <w:rsid w:val="00872FD2"/>
    <w:rsid w:val="00873D35"/>
    <w:rsid w:val="00876869"/>
    <w:rsid w:val="008827D0"/>
    <w:rsid w:val="00894F9A"/>
    <w:rsid w:val="00896BD0"/>
    <w:rsid w:val="008B26FD"/>
    <w:rsid w:val="008B2E86"/>
    <w:rsid w:val="008B6B32"/>
    <w:rsid w:val="008C0EAA"/>
    <w:rsid w:val="008C5A91"/>
    <w:rsid w:val="008C5CEE"/>
    <w:rsid w:val="008D07AD"/>
    <w:rsid w:val="008D29F1"/>
    <w:rsid w:val="008D3E74"/>
    <w:rsid w:val="008E2830"/>
    <w:rsid w:val="008E3008"/>
    <w:rsid w:val="008E7B8E"/>
    <w:rsid w:val="008E7ED3"/>
    <w:rsid w:val="008F31BA"/>
    <w:rsid w:val="00904097"/>
    <w:rsid w:val="00904538"/>
    <w:rsid w:val="009053F7"/>
    <w:rsid w:val="00905422"/>
    <w:rsid w:val="00930258"/>
    <w:rsid w:val="00930A39"/>
    <w:rsid w:val="0093167A"/>
    <w:rsid w:val="00931730"/>
    <w:rsid w:val="009350F0"/>
    <w:rsid w:val="009407D6"/>
    <w:rsid w:val="009419A4"/>
    <w:rsid w:val="0094555F"/>
    <w:rsid w:val="00945EA6"/>
    <w:rsid w:val="00947510"/>
    <w:rsid w:val="00952D32"/>
    <w:rsid w:val="00957BA0"/>
    <w:rsid w:val="00962C81"/>
    <w:rsid w:val="00966808"/>
    <w:rsid w:val="00977BEA"/>
    <w:rsid w:val="00991538"/>
    <w:rsid w:val="0099372E"/>
    <w:rsid w:val="00994C96"/>
    <w:rsid w:val="00995104"/>
    <w:rsid w:val="009A0464"/>
    <w:rsid w:val="009A3F4D"/>
    <w:rsid w:val="009A44A5"/>
    <w:rsid w:val="009B058D"/>
    <w:rsid w:val="009B139F"/>
    <w:rsid w:val="009B2374"/>
    <w:rsid w:val="009B2D95"/>
    <w:rsid w:val="009B60B8"/>
    <w:rsid w:val="009C403B"/>
    <w:rsid w:val="009C7703"/>
    <w:rsid w:val="009D128C"/>
    <w:rsid w:val="009D1F1C"/>
    <w:rsid w:val="009D27E8"/>
    <w:rsid w:val="009D3564"/>
    <w:rsid w:val="009D5058"/>
    <w:rsid w:val="009D5174"/>
    <w:rsid w:val="009D57E3"/>
    <w:rsid w:val="009E006D"/>
    <w:rsid w:val="009E0A65"/>
    <w:rsid w:val="009E5122"/>
    <w:rsid w:val="00A063EE"/>
    <w:rsid w:val="00A161A4"/>
    <w:rsid w:val="00A17957"/>
    <w:rsid w:val="00A22C63"/>
    <w:rsid w:val="00A32258"/>
    <w:rsid w:val="00A33333"/>
    <w:rsid w:val="00A37554"/>
    <w:rsid w:val="00A43B3E"/>
    <w:rsid w:val="00A659E1"/>
    <w:rsid w:val="00A71FE3"/>
    <w:rsid w:val="00A7281A"/>
    <w:rsid w:val="00A72DD3"/>
    <w:rsid w:val="00A80E26"/>
    <w:rsid w:val="00A85445"/>
    <w:rsid w:val="00A85AC0"/>
    <w:rsid w:val="00A900CC"/>
    <w:rsid w:val="00A9095F"/>
    <w:rsid w:val="00A97EDE"/>
    <w:rsid w:val="00AA0E70"/>
    <w:rsid w:val="00AA34E3"/>
    <w:rsid w:val="00AA4905"/>
    <w:rsid w:val="00AB32A9"/>
    <w:rsid w:val="00AB3DD5"/>
    <w:rsid w:val="00AC02AA"/>
    <w:rsid w:val="00AC167D"/>
    <w:rsid w:val="00AC1D94"/>
    <w:rsid w:val="00AC2081"/>
    <w:rsid w:val="00AD6475"/>
    <w:rsid w:val="00AE0FC7"/>
    <w:rsid w:val="00AE29EC"/>
    <w:rsid w:val="00AE312D"/>
    <w:rsid w:val="00AE6C40"/>
    <w:rsid w:val="00AE710A"/>
    <w:rsid w:val="00B020E4"/>
    <w:rsid w:val="00B055B1"/>
    <w:rsid w:val="00B0660D"/>
    <w:rsid w:val="00B06697"/>
    <w:rsid w:val="00B176C3"/>
    <w:rsid w:val="00B17CA9"/>
    <w:rsid w:val="00B20E03"/>
    <w:rsid w:val="00B218A4"/>
    <w:rsid w:val="00B253A1"/>
    <w:rsid w:val="00B262AB"/>
    <w:rsid w:val="00B3067F"/>
    <w:rsid w:val="00B33CB7"/>
    <w:rsid w:val="00B352FA"/>
    <w:rsid w:val="00B36B5C"/>
    <w:rsid w:val="00B36D31"/>
    <w:rsid w:val="00B43146"/>
    <w:rsid w:val="00B46969"/>
    <w:rsid w:val="00B47A1D"/>
    <w:rsid w:val="00B53942"/>
    <w:rsid w:val="00B5450F"/>
    <w:rsid w:val="00B60C11"/>
    <w:rsid w:val="00B617CD"/>
    <w:rsid w:val="00B6697F"/>
    <w:rsid w:val="00B66FC9"/>
    <w:rsid w:val="00B76AF5"/>
    <w:rsid w:val="00B805E0"/>
    <w:rsid w:val="00B902CB"/>
    <w:rsid w:val="00B90C59"/>
    <w:rsid w:val="00B955FF"/>
    <w:rsid w:val="00B961A4"/>
    <w:rsid w:val="00B962CB"/>
    <w:rsid w:val="00BB4A7A"/>
    <w:rsid w:val="00BB6CB3"/>
    <w:rsid w:val="00BC0047"/>
    <w:rsid w:val="00BC24E8"/>
    <w:rsid w:val="00BC266F"/>
    <w:rsid w:val="00BC798B"/>
    <w:rsid w:val="00BD7AD5"/>
    <w:rsid w:val="00BE48D2"/>
    <w:rsid w:val="00BE77B1"/>
    <w:rsid w:val="00BF67EE"/>
    <w:rsid w:val="00BF6F8B"/>
    <w:rsid w:val="00BF6FCE"/>
    <w:rsid w:val="00C01721"/>
    <w:rsid w:val="00C04DCF"/>
    <w:rsid w:val="00C04F0F"/>
    <w:rsid w:val="00C06177"/>
    <w:rsid w:val="00C075EA"/>
    <w:rsid w:val="00C158DA"/>
    <w:rsid w:val="00C23990"/>
    <w:rsid w:val="00C25EC1"/>
    <w:rsid w:val="00C26492"/>
    <w:rsid w:val="00C34C43"/>
    <w:rsid w:val="00C41BEB"/>
    <w:rsid w:val="00C50A26"/>
    <w:rsid w:val="00C61AC6"/>
    <w:rsid w:val="00C702C7"/>
    <w:rsid w:val="00C70484"/>
    <w:rsid w:val="00C7429C"/>
    <w:rsid w:val="00C762EB"/>
    <w:rsid w:val="00C8703B"/>
    <w:rsid w:val="00C97A0E"/>
    <w:rsid w:val="00CA4E63"/>
    <w:rsid w:val="00CA5B05"/>
    <w:rsid w:val="00CC2A1A"/>
    <w:rsid w:val="00CC5E8F"/>
    <w:rsid w:val="00CC7F09"/>
    <w:rsid w:val="00CD0C3E"/>
    <w:rsid w:val="00CD10C9"/>
    <w:rsid w:val="00CD2176"/>
    <w:rsid w:val="00CD4093"/>
    <w:rsid w:val="00CD49CB"/>
    <w:rsid w:val="00CD4B15"/>
    <w:rsid w:val="00CD5842"/>
    <w:rsid w:val="00CD61F8"/>
    <w:rsid w:val="00CE1D9F"/>
    <w:rsid w:val="00CE2932"/>
    <w:rsid w:val="00CF3CA4"/>
    <w:rsid w:val="00CF546E"/>
    <w:rsid w:val="00CF7F7F"/>
    <w:rsid w:val="00D0023B"/>
    <w:rsid w:val="00D005DA"/>
    <w:rsid w:val="00D01239"/>
    <w:rsid w:val="00D01883"/>
    <w:rsid w:val="00D226A6"/>
    <w:rsid w:val="00D236E8"/>
    <w:rsid w:val="00D274E0"/>
    <w:rsid w:val="00D27B73"/>
    <w:rsid w:val="00D329DF"/>
    <w:rsid w:val="00D33A2B"/>
    <w:rsid w:val="00D35C72"/>
    <w:rsid w:val="00D36E73"/>
    <w:rsid w:val="00D4280C"/>
    <w:rsid w:val="00D5297D"/>
    <w:rsid w:val="00D52A6A"/>
    <w:rsid w:val="00D615C1"/>
    <w:rsid w:val="00D61DFC"/>
    <w:rsid w:val="00D64CA3"/>
    <w:rsid w:val="00D65E42"/>
    <w:rsid w:val="00D768FD"/>
    <w:rsid w:val="00D7732D"/>
    <w:rsid w:val="00D815D0"/>
    <w:rsid w:val="00D84D03"/>
    <w:rsid w:val="00DA1962"/>
    <w:rsid w:val="00DB0CB1"/>
    <w:rsid w:val="00DB5D79"/>
    <w:rsid w:val="00DC4D91"/>
    <w:rsid w:val="00DC65D0"/>
    <w:rsid w:val="00DD4FE2"/>
    <w:rsid w:val="00DD5A1B"/>
    <w:rsid w:val="00DD61C6"/>
    <w:rsid w:val="00DD715C"/>
    <w:rsid w:val="00DE18BC"/>
    <w:rsid w:val="00DE4B98"/>
    <w:rsid w:val="00DF1067"/>
    <w:rsid w:val="00DF4601"/>
    <w:rsid w:val="00DF4B62"/>
    <w:rsid w:val="00DF75EF"/>
    <w:rsid w:val="00E02FD2"/>
    <w:rsid w:val="00E0517E"/>
    <w:rsid w:val="00E15DEF"/>
    <w:rsid w:val="00E15E9E"/>
    <w:rsid w:val="00E1777D"/>
    <w:rsid w:val="00E2489F"/>
    <w:rsid w:val="00E26113"/>
    <w:rsid w:val="00E266A4"/>
    <w:rsid w:val="00E35306"/>
    <w:rsid w:val="00E35847"/>
    <w:rsid w:val="00E35BD3"/>
    <w:rsid w:val="00E36C7A"/>
    <w:rsid w:val="00E42FE2"/>
    <w:rsid w:val="00E4362E"/>
    <w:rsid w:val="00E47C9A"/>
    <w:rsid w:val="00E51605"/>
    <w:rsid w:val="00E54BEF"/>
    <w:rsid w:val="00E56993"/>
    <w:rsid w:val="00E56F4A"/>
    <w:rsid w:val="00E66B81"/>
    <w:rsid w:val="00E717AE"/>
    <w:rsid w:val="00E7390D"/>
    <w:rsid w:val="00E7797E"/>
    <w:rsid w:val="00E82807"/>
    <w:rsid w:val="00E85D55"/>
    <w:rsid w:val="00E87432"/>
    <w:rsid w:val="00E87D29"/>
    <w:rsid w:val="00E943B8"/>
    <w:rsid w:val="00E94C20"/>
    <w:rsid w:val="00EA416B"/>
    <w:rsid w:val="00EA60BB"/>
    <w:rsid w:val="00EB209E"/>
    <w:rsid w:val="00EB3393"/>
    <w:rsid w:val="00EB5CD1"/>
    <w:rsid w:val="00EC16DB"/>
    <w:rsid w:val="00EC6CC9"/>
    <w:rsid w:val="00ED167C"/>
    <w:rsid w:val="00ED4039"/>
    <w:rsid w:val="00ED5DBC"/>
    <w:rsid w:val="00EE1528"/>
    <w:rsid w:val="00EE16D4"/>
    <w:rsid w:val="00EE2C87"/>
    <w:rsid w:val="00EE61A2"/>
    <w:rsid w:val="00EF0925"/>
    <w:rsid w:val="00EF4086"/>
    <w:rsid w:val="00EF444A"/>
    <w:rsid w:val="00F045B9"/>
    <w:rsid w:val="00F1518C"/>
    <w:rsid w:val="00F15F5C"/>
    <w:rsid w:val="00F23266"/>
    <w:rsid w:val="00F30724"/>
    <w:rsid w:val="00F3081C"/>
    <w:rsid w:val="00F43183"/>
    <w:rsid w:val="00F448EC"/>
    <w:rsid w:val="00F506EF"/>
    <w:rsid w:val="00F50C01"/>
    <w:rsid w:val="00F5140D"/>
    <w:rsid w:val="00F5163B"/>
    <w:rsid w:val="00F565A3"/>
    <w:rsid w:val="00F64334"/>
    <w:rsid w:val="00F70E92"/>
    <w:rsid w:val="00F741DE"/>
    <w:rsid w:val="00F7435C"/>
    <w:rsid w:val="00F87D0A"/>
    <w:rsid w:val="00F9119D"/>
    <w:rsid w:val="00F920C2"/>
    <w:rsid w:val="00F93ECC"/>
    <w:rsid w:val="00F971FB"/>
    <w:rsid w:val="00F973D7"/>
    <w:rsid w:val="00FA6EC4"/>
    <w:rsid w:val="00FB0CB7"/>
    <w:rsid w:val="00FB25C1"/>
    <w:rsid w:val="00FB6C38"/>
    <w:rsid w:val="00FC1FCC"/>
    <w:rsid w:val="00FC2104"/>
    <w:rsid w:val="00FC2B0D"/>
    <w:rsid w:val="00FC3A87"/>
    <w:rsid w:val="00FC5C06"/>
    <w:rsid w:val="00FD0912"/>
    <w:rsid w:val="00FD505C"/>
    <w:rsid w:val="00FD5421"/>
    <w:rsid w:val="00FE7B4F"/>
    <w:rsid w:val="00FE7E6F"/>
    <w:rsid w:val="00FF00CB"/>
    <w:rsid w:val="00FF0F52"/>
    <w:rsid w:val="00FF1E8D"/>
    <w:rsid w:val="00FF438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C1704"/>
  <w15:docId w15:val="{1C1DD750-820B-4E37-878E-95FEE2E5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81"/>
    <w:pPr>
      <w:spacing w:after="0" w:line="240" w:lineRule="auto"/>
    </w:pPr>
    <w:rPr>
      <w:sz w:val="18"/>
      <w:lang w:val="en-US"/>
    </w:rPr>
  </w:style>
  <w:style w:type="paragraph" w:styleId="Heading1">
    <w:name w:val="heading 1"/>
    <w:basedOn w:val="Normal"/>
    <w:next w:val="Normal"/>
    <w:link w:val="Heading1Char"/>
    <w:autoRedefine/>
    <w:uiPriority w:val="9"/>
    <w:qFormat/>
    <w:rsid w:val="00DE4B98"/>
    <w:pPr>
      <w:keepNext/>
      <w:keepLines/>
      <w:spacing w:after="240"/>
      <w:outlineLvl w:val="0"/>
    </w:pPr>
    <w:rPr>
      <w:rFonts w:asciiTheme="majorHAnsi" w:eastAsiaTheme="majorEastAsia" w:hAnsiTheme="majorHAnsi" w:cstheme="majorBidi"/>
      <w:b/>
      <w:bCs/>
      <w:color w:val="62B5E5" w:themeColor="accent3"/>
      <w:szCs w:val="28"/>
    </w:rPr>
  </w:style>
  <w:style w:type="paragraph" w:styleId="Heading2">
    <w:name w:val="heading 2"/>
    <w:basedOn w:val="Normal"/>
    <w:next w:val="Normal"/>
    <w:link w:val="Heading2Char"/>
    <w:autoRedefine/>
    <w:uiPriority w:val="9"/>
    <w:qFormat/>
    <w:rsid w:val="00D84D03"/>
    <w:pPr>
      <w:keepNext/>
      <w:keepLines/>
      <w:spacing w:before="120" w:after="120"/>
      <w:jc w:val="center"/>
      <w:outlineLvl w:val="1"/>
    </w:pPr>
    <w:rPr>
      <w:rFonts w:eastAsiaTheme="majorEastAsia" w:cstheme="majorBidi"/>
      <w:b/>
      <w:bCs/>
      <w:color w:val="000000" w:themeColor="text1"/>
      <w:szCs w:val="20"/>
      <w:lang w:val="en-GB"/>
    </w:rPr>
  </w:style>
  <w:style w:type="paragraph" w:styleId="Heading3">
    <w:name w:val="heading 3"/>
    <w:basedOn w:val="Normal"/>
    <w:next w:val="Normal"/>
    <w:link w:val="Heading3Char"/>
    <w:autoRedefine/>
    <w:uiPriority w:val="9"/>
    <w:qFormat/>
    <w:rsid w:val="004C1481"/>
    <w:pPr>
      <w:keepNext/>
      <w:keepLines/>
      <w:spacing w:before="120" w:after="120"/>
      <w:outlineLvl w:val="2"/>
    </w:pPr>
    <w:rPr>
      <w:rFonts w:asciiTheme="majorHAnsi" w:eastAsiaTheme="majorEastAsia" w:hAnsiTheme="majorHAnsi" w:cstheme="majorBidi"/>
      <w:b/>
      <w:bCs/>
      <w:color w:val="75787B" w:themeColor="accent6"/>
    </w:rPr>
  </w:style>
  <w:style w:type="paragraph" w:styleId="Heading4">
    <w:name w:val="heading 4"/>
    <w:basedOn w:val="Normal"/>
    <w:next w:val="Normal"/>
    <w:link w:val="Heading4Char"/>
    <w:uiPriority w:val="9"/>
    <w:semiHidden/>
    <w:qFormat/>
    <w:rsid w:val="00255D53"/>
    <w:pPr>
      <w:keepNext/>
      <w:keepLines/>
      <w:tabs>
        <w:tab w:val="left" w:pos="340"/>
      </w:tabs>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B98"/>
    <w:rPr>
      <w:rFonts w:asciiTheme="majorHAnsi" w:eastAsiaTheme="majorEastAsia" w:hAnsiTheme="majorHAnsi" w:cstheme="majorBidi"/>
      <w:b/>
      <w:bCs/>
      <w:color w:val="62B5E5" w:themeColor="accent3"/>
      <w:sz w:val="18"/>
      <w:szCs w:val="28"/>
      <w:lang w:val="en-US"/>
    </w:rPr>
  </w:style>
  <w:style w:type="character" w:customStyle="1" w:styleId="Heading2Char">
    <w:name w:val="Heading 2 Char"/>
    <w:basedOn w:val="DefaultParagraphFont"/>
    <w:link w:val="Heading2"/>
    <w:uiPriority w:val="9"/>
    <w:rsid w:val="00D84D03"/>
    <w:rPr>
      <w:rFonts w:eastAsiaTheme="majorEastAsia" w:cstheme="majorBidi"/>
      <w:b/>
      <w:bCs/>
      <w:color w:val="000000" w:themeColor="text1"/>
      <w:sz w:val="18"/>
      <w:szCs w:val="20"/>
    </w:rPr>
  </w:style>
  <w:style w:type="table" w:styleId="TableGrid">
    <w:name w:val="Table Grid"/>
    <w:basedOn w:val="TableNormal"/>
    <w:uiPriority w:val="39"/>
    <w:rsid w:val="001E016B"/>
    <w:pPr>
      <w:spacing w:after="0"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autoRedefine/>
    <w:uiPriority w:val="99"/>
    <w:qFormat/>
    <w:rsid w:val="00351249"/>
    <w:pPr>
      <w:numPr>
        <w:numId w:val="1"/>
      </w:numPr>
      <w:contextualSpacing/>
    </w:pPr>
    <w:rPr>
      <w:lang w:val="en-GB"/>
    </w:rPr>
  </w:style>
  <w:style w:type="paragraph" w:styleId="ListBullet2">
    <w:name w:val="List Bullet 2"/>
    <w:basedOn w:val="Normal"/>
    <w:autoRedefine/>
    <w:uiPriority w:val="99"/>
    <w:qFormat/>
    <w:rsid w:val="00CD49CB"/>
    <w:pPr>
      <w:contextualSpacing/>
    </w:pPr>
    <w:rPr>
      <w:rFonts w:ascii="Verdana" w:hAnsi="Verdana"/>
    </w:rPr>
  </w:style>
  <w:style w:type="paragraph" w:styleId="ListNumber">
    <w:name w:val="List Number"/>
    <w:basedOn w:val="Normal"/>
    <w:autoRedefine/>
    <w:uiPriority w:val="99"/>
    <w:qFormat/>
    <w:rsid w:val="00F93ECC"/>
    <w:pPr>
      <w:numPr>
        <w:numId w:val="3"/>
      </w:numPr>
      <w:contextualSpacing/>
    </w:pPr>
  </w:style>
  <w:style w:type="paragraph" w:styleId="ListNumber2">
    <w:name w:val="List Number 2"/>
    <w:basedOn w:val="Normal"/>
    <w:autoRedefine/>
    <w:uiPriority w:val="99"/>
    <w:qFormat/>
    <w:rsid w:val="00595A9D"/>
    <w:pPr>
      <w:numPr>
        <w:numId w:val="4"/>
      </w:numPr>
      <w:ind w:left="851" w:hanging="284"/>
      <w:contextualSpacing/>
    </w:pPr>
  </w:style>
  <w:style w:type="character" w:customStyle="1" w:styleId="Heading3Char">
    <w:name w:val="Heading 3 Char"/>
    <w:basedOn w:val="DefaultParagraphFont"/>
    <w:link w:val="Heading3"/>
    <w:uiPriority w:val="9"/>
    <w:rsid w:val="004C1481"/>
    <w:rPr>
      <w:rFonts w:asciiTheme="majorHAnsi" w:eastAsiaTheme="majorEastAsia" w:hAnsiTheme="majorHAnsi" w:cstheme="majorBidi"/>
      <w:b/>
      <w:bCs/>
      <w:color w:val="75787B" w:themeColor="accent6"/>
      <w:sz w:val="18"/>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rsid w:val="00F3081C"/>
    <w:rPr>
      <w:sz w:val="16"/>
      <w:szCs w:val="20"/>
    </w:rPr>
  </w:style>
  <w:style w:type="character" w:customStyle="1" w:styleId="FootnoteTextChar">
    <w:name w:val="Footnote Text Char"/>
    <w:basedOn w:val="DefaultParagraphFont"/>
    <w:link w:val="FootnoteText"/>
    <w:rsid w:val="007550AB"/>
    <w:rPr>
      <w:sz w:val="16"/>
      <w:szCs w:val="20"/>
      <w:lang w:val="en-US"/>
    </w:rPr>
  </w:style>
  <w:style w:type="paragraph" w:customStyle="1" w:styleId="Documenttitle">
    <w:name w:val="Document title"/>
    <w:next w:val="Documentsubtitle"/>
    <w:qFormat/>
    <w:rsid w:val="00A7281A"/>
    <w:pPr>
      <w:spacing w:after="0" w:line="440" w:lineRule="atLeast"/>
    </w:pPr>
    <w:rPr>
      <w:rFonts w:asciiTheme="majorHAnsi" w:eastAsiaTheme="majorEastAsia" w:hAnsiTheme="majorHAnsi" w:cstheme="majorBidi"/>
      <w:b/>
      <w:bCs/>
      <w:color w:val="000000" w:themeColor="text1"/>
      <w:sz w:val="36"/>
      <w:szCs w:val="28"/>
    </w:rPr>
  </w:style>
  <w:style w:type="paragraph" w:customStyle="1" w:styleId="Subheading">
    <w:name w:val="Subheading"/>
    <w:basedOn w:val="Normal"/>
    <w:next w:val="Normal"/>
    <w:semiHidden/>
    <w:qFormat/>
    <w:rsid w:val="00D236E8"/>
    <w:rPr>
      <w:rFonts w:asciiTheme="majorHAnsi" w:eastAsiaTheme="majorEastAsia" w:hAnsiTheme="majorHAnsi" w:cstheme="majorBidi"/>
      <w:b/>
      <w:bCs/>
      <w:iCs/>
      <w:color w:val="000000" w:themeColor="text1"/>
    </w:rPr>
  </w:style>
  <w:style w:type="character" w:styleId="FootnoteReference">
    <w:name w:val="footnote reference"/>
    <w:basedOn w:val="DefaultParagraphFont"/>
    <w:semiHidden/>
    <w:rsid w:val="00412EA0"/>
    <w:rPr>
      <w:vertAlign w:val="superscript"/>
    </w:rPr>
  </w:style>
  <w:style w:type="paragraph" w:customStyle="1" w:styleId="Sectionintro">
    <w:name w:val="Section intro"/>
    <w:basedOn w:val="Normal"/>
    <w:next w:val="Normal"/>
    <w:autoRedefine/>
    <w:qFormat/>
    <w:rsid w:val="004C1481"/>
    <w:pPr>
      <w:spacing w:after="120"/>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autoRedefine/>
    <w:qFormat/>
    <w:rsid w:val="004C1481"/>
    <w:pPr>
      <w:spacing w:after="120"/>
    </w:pPr>
    <w:rPr>
      <w:color w:val="62B5E5" w:themeColor="accent3"/>
      <w:sz w:val="28"/>
    </w:rPr>
  </w:style>
  <w:style w:type="paragraph" w:customStyle="1" w:styleId="Contacttext">
    <w:name w:val="Contact text"/>
    <w:basedOn w:val="Normal"/>
    <w:qFormat/>
    <w:rsid w:val="00D7732D"/>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B46969"/>
    <w:pPr>
      <w:keepNext/>
    </w:pPr>
    <w:rPr>
      <w:iCs/>
      <w:color w:val="75787B" w:themeColor="accent6"/>
      <w:sz w:val="17"/>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62B5E5"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4C1481"/>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DE4B98"/>
    <w:pPr>
      <w:tabs>
        <w:tab w:val="right" w:leader="dot" w:pos="9344"/>
      </w:tabs>
      <w:spacing w:after="120"/>
    </w:pPr>
    <w:rPr>
      <w:noProof/>
      <w:lang w:val="en-GB"/>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Legaltext">
    <w:name w:val="Legal text"/>
    <w:basedOn w:val="Normal"/>
    <w:qFormat/>
    <w:rsid w:val="00BF6F8B"/>
    <w:pPr>
      <w:spacing w:line="180" w:lineRule="atLeast"/>
      <w:ind w:right="5387"/>
    </w:pPr>
    <w:rPr>
      <w:sz w:val="14"/>
    </w:rPr>
  </w:style>
  <w:style w:type="table" w:customStyle="1" w:styleId="Deloittetable">
    <w:name w:val="Deloitte table"/>
    <w:basedOn w:val="TableNormal"/>
    <w:uiPriority w:val="99"/>
    <w:rsid w:val="003B3379"/>
    <w:pPr>
      <w:spacing w:after="0" w:line="240" w:lineRule="auto"/>
    </w:pPr>
    <w:rPr>
      <w:sz w:val="17"/>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text">
    <w:name w:val="Table text"/>
    <w:basedOn w:val="Normal"/>
    <w:qFormat/>
    <w:rsid w:val="004D1F57"/>
    <w:pPr>
      <w:spacing w:line="200" w:lineRule="atLeast"/>
    </w:pPr>
    <w:rPr>
      <w:sz w:val="17"/>
    </w:rPr>
  </w:style>
  <w:style w:type="paragraph" w:customStyle="1" w:styleId="Tabletitle">
    <w:name w:val="Table title"/>
    <w:basedOn w:val="Tabletext"/>
    <w:qFormat/>
    <w:rsid w:val="004D1F57"/>
    <w:rPr>
      <w:b/>
      <w:color w:val="62B5E5" w:themeColor="accent3"/>
    </w:rPr>
  </w:style>
  <w:style w:type="paragraph" w:customStyle="1" w:styleId="SourcetextTableorChart">
    <w:name w:val="Source text Table or Chart"/>
    <w:basedOn w:val="Caption"/>
    <w:next w:val="Normal"/>
    <w:qFormat/>
    <w:rsid w:val="003B3379"/>
    <w:pPr>
      <w:spacing w:before="120"/>
    </w:pPr>
    <w:rPr>
      <w:sz w:val="14"/>
    </w:rPr>
  </w:style>
  <w:style w:type="paragraph" w:customStyle="1" w:styleId="Tablebullets">
    <w:name w:val="Table bullets"/>
    <w:basedOn w:val="Tabletext"/>
    <w:qFormat/>
    <w:rsid w:val="00AD6475"/>
    <w:pPr>
      <w:numPr>
        <w:numId w:val="19"/>
      </w:numPr>
      <w:ind w:left="284" w:hanging="284"/>
    </w:pPr>
  </w:style>
  <w:style w:type="paragraph" w:customStyle="1" w:styleId="Tablenumbered">
    <w:name w:val="Table numbered"/>
    <w:basedOn w:val="Tablebullets"/>
    <w:qFormat/>
    <w:rsid w:val="00AD6475"/>
    <w:pPr>
      <w:numPr>
        <w:numId w:val="20"/>
      </w:numPr>
      <w:ind w:left="284" w:hanging="284"/>
    </w:pPr>
  </w:style>
  <w:style w:type="paragraph" w:customStyle="1" w:styleId="Charttitle">
    <w:name w:val="Chart title"/>
    <w:basedOn w:val="Heading2"/>
    <w:qFormat/>
    <w:rsid w:val="00B66FC9"/>
  </w:style>
  <w:style w:type="character" w:customStyle="1" w:styleId="paragraph1">
    <w:name w:val="paragraph1"/>
    <w:rsid w:val="003A4891"/>
    <w:rPr>
      <w:rFonts w:ascii="Arial" w:hAnsi="Arial" w:cs="Arial" w:hint="default"/>
      <w:vanish w:val="0"/>
      <w:webHidden w:val="0"/>
      <w:sz w:val="29"/>
      <w:szCs w:val="29"/>
      <w:specVanish w:val="0"/>
    </w:rPr>
  </w:style>
  <w:style w:type="character" w:styleId="CommentReference">
    <w:name w:val="annotation reference"/>
    <w:basedOn w:val="DefaultParagraphFont"/>
    <w:uiPriority w:val="99"/>
    <w:semiHidden/>
    <w:unhideWhenUsed/>
    <w:rsid w:val="003A4891"/>
    <w:rPr>
      <w:sz w:val="16"/>
      <w:szCs w:val="16"/>
    </w:rPr>
  </w:style>
  <w:style w:type="paragraph" w:styleId="CommentText">
    <w:name w:val="annotation text"/>
    <w:basedOn w:val="Normal"/>
    <w:link w:val="CommentTextChar"/>
    <w:uiPriority w:val="99"/>
    <w:semiHidden/>
    <w:unhideWhenUsed/>
    <w:rsid w:val="003A4891"/>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3A4891"/>
    <w:rPr>
      <w:rFonts w:ascii="Times New Roman" w:eastAsia="Times New Roman" w:hAnsi="Times New Roman" w:cs="Times New Roman"/>
      <w:sz w:val="20"/>
      <w:szCs w:val="20"/>
      <w:lang w:eastAsia="en-GB"/>
    </w:rPr>
  </w:style>
  <w:style w:type="character" w:customStyle="1" w:styleId="paragraph3">
    <w:name w:val="paragraph3"/>
    <w:rsid w:val="007D5B3C"/>
    <w:rPr>
      <w:rFonts w:ascii="Arial" w:hAnsi="Arial" w:cs="Arial" w:hint="default"/>
      <w:vanish w:val="0"/>
      <w:webHidden w:val="0"/>
      <w:sz w:val="29"/>
      <w:szCs w:val="29"/>
      <w:specVanish w:val="0"/>
    </w:rPr>
  </w:style>
  <w:style w:type="character" w:customStyle="1" w:styleId="paragraph4">
    <w:name w:val="paragraph4"/>
    <w:rsid w:val="007D5B3C"/>
    <w:rPr>
      <w:rFonts w:ascii="Arial" w:hAnsi="Arial" w:cs="Arial" w:hint="default"/>
      <w:vanish w:val="0"/>
      <w:webHidden w:val="0"/>
      <w:sz w:val="29"/>
      <w:szCs w:val="29"/>
      <w:specVanish w:val="0"/>
    </w:rPr>
  </w:style>
  <w:style w:type="paragraph" w:customStyle="1" w:styleId="Style1">
    <w:name w:val="Style1"/>
    <w:basedOn w:val="Normal"/>
    <w:rsid w:val="007D5B3C"/>
    <w:pPr>
      <w:numPr>
        <w:numId w:val="21"/>
      </w:numPr>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A71FE3"/>
    <w:pPr>
      <w:spacing w:before="240" w:after="0" w:line="259" w:lineRule="auto"/>
      <w:outlineLvl w:val="9"/>
    </w:pPr>
    <w:rPr>
      <w:b w:val="0"/>
      <w:bCs w:val="0"/>
      <w:color w:val="638C1B" w:themeColor="accent1" w:themeShade="BF"/>
      <w:sz w:val="32"/>
      <w:szCs w:val="32"/>
    </w:rPr>
  </w:style>
  <w:style w:type="paragraph" w:styleId="TOC2">
    <w:name w:val="toc 2"/>
    <w:basedOn w:val="Normal"/>
    <w:next w:val="Normal"/>
    <w:autoRedefine/>
    <w:uiPriority w:val="39"/>
    <w:rsid w:val="00A71FE3"/>
    <w:pPr>
      <w:spacing w:after="120"/>
    </w:pPr>
  </w:style>
  <w:style w:type="paragraph" w:styleId="ListParagraph">
    <w:name w:val="List Paragraph"/>
    <w:basedOn w:val="Normal"/>
    <w:uiPriority w:val="34"/>
    <w:qFormat/>
    <w:rsid w:val="00DE4B98"/>
    <w:pPr>
      <w:ind w:left="720"/>
      <w:contextualSpacing/>
    </w:pPr>
  </w:style>
  <w:style w:type="paragraph" w:customStyle="1" w:styleId="BodyText1">
    <w:name w:val="Body Text1"/>
    <w:qFormat/>
    <w:rsid w:val="00850F72"/>
    <w:pPr>
      <w:spacing w:after="0" w:line="240" w:lineRule="auto"/>
    </w:pPr>
    <w:rPr>
      <w:rFonts w:ascii="Arial" w:eastAsia="Times New Roman" w:hAnsi="Arial" w:cs="Times New Roman"/>
      <w:color w:val="000000"/>
      <w:sz w:val="19"/>
      <w:szCs w:val="48"/>
      <w:lang w:val="cs-CZ"/>
    </w:rPr>
  </w:style>
  <w:style w:type="paragraph" w:styleId="CommentSubject">
    <w:name w:val="annotation subject"/>
    <w:basedOn w:val="CommentText"/>
    <w:next w:val="CommentText"/>
    <w:link w:val="CommentSubjectChar"/>
    <w:uiPriority w:val="99"/>
    <w:semiHidden/>
    <w:unhideWhenUsed/>
    <w:rsid w:val="0016019D"/>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6019D"/>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385">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02599725">
      <w:bodyDiv w:val="1"/>
      <w:marLeft w:val="0"/>
      <w:marRight w:val="0"/>
      <w:marTop w:val="0"/>
      <w:marBottom w:val="0"/>
      <w:divBdr>
        <w:top w:val="none" w:sz="0" w:space="0" w:color="auto"/>
        <w:left w:val="none" w:sz="0" w:space="0" w:color="auto"/>
        <w:bottom w:val="none" w:sz="0" w:space="0" w:color="auto"/>
        <w:right w:val="none" w:sz="0" w:space="0" w:color="auto"/>
      </w:divBdr>
    </w:div>
    <w:div w:id="315767454">
      <w:bodyDiv w:val="1"/>
      <w:marLeft w:val="0"/>
      <w:marRight w:val="0"/>
      <w:marTop w:val="0"/>
      <w:marBottom w:val="0"/>
      <w:divBdr>
        <w:top w:val="none" w:sz="0" w:space="0" w:color="auto"/>
        <w:left w:val="none" w:sz="0" w:space="0" w:color="auto"/>
        <w:bottom w:val="none" w:sz="0" w:space="0" w:color="auto"/>
        <w:right w:val="none" w:sz="0" w:space="0" w:color="auto"/>
      </w:divBdr>
    </w:div>
    <w:div w:id="571965267">
      <w:bodyDiv w:val="1"/>
      <w:marLeft w:val="0"/>
      <w:marRight w:val="0"/>
      <w:marTop w:val="0"/>
      <w:marBottom w:val="0"/>
      <w:divBdr>
        <w:top w:val="none" w:sz="0" w:space="0" w:color="auto"/>
        <w:left w:val="none" w:sz="0" w:space="0" w:color="auto"/>
        <w:bottom w:val="none" w:sz="0" w:space="0" w:color="auto"/>
        <w:right w:val="none" w:sz="0" w:space="0" w:color="auto"/>
      </w:divBdr>
    </w:div>
    <w:div w:id="910967084">
      <w:bodyDiv w:val="1"/>
      <w:marLeft w:val="0"/>
      <w:marRight w:val="0"/>
      <w:marTop w:val="0"/>
      <w:marBottom w:val="0"/>
      <w:divBdr>
        <w:top w:val="none" w:sz="0" w:space="0" w:color="auto"/>
        <w:left w:val="none" w:sz="0" w:space="0" w:color="auto"/>
        <w:bottom w:val="none" w:sz="0" w:space="0" w:color="auto"/>
        <w:right w:val="none" w:sz="0" w:space="0" w:color="auto"/>
      </w:divBdr>
    </w:div>
    <w:div w:id="1172450072">
      <w:bodyDiv w:val="1"/>
      <w:marLeft w:val="0"/>
      <w:marRight w:val="0"/>
      <w:marTop w:val="0"/>
      <w:marBottom w:val="0"/>
      <w:divBdr>
        <w:top w:val="none" w:sz="0" w:space="0" w:color="auto"/>
        <w:left w:val="none" w:sz="0" w:space="0" w:color="auto"/>
        <w:bottom w:val="none" w:sz="0" w:space="0" w:color="auto"/>
        <w:right w:val="none" w:sz="0" w:space="0" w:color="auto"/>
      </w:divBdr>
    </w:div>
    <w:div w:id="1375427072">
      <w:bodyDiv w:val="1"/>
      <w:marLeft w:val="0"/>
      <w:marRight w:val="0"/>
      <w:marTop w:val="0"/>
      <w:marBottom w:val="0"/>
      <w:divBdr>
        <w:top w:val="none" w:sz="0" w:space="0" w:color="auto"/>
        <w:left w:val="none" w:sz="0" w:space="0" w:color="auto"/>
        <w:bottom w:val="none" w:sz="0" w:space="0" w:color="auto"/>
        <w:right w:val="none" w:sz="0" w:space="0" w:color="auto"/>
      </w:divBdr>
    </w:div>
    <w:div w:id="1433552243">
      <w:bodyDiv w:val="1"/>
      <w:marLeft w:val="0"/>
      <w:marRight w:val="0"/>
      <w:marTop w:val="0"/>
      <w:marBottom w:val="0"/>
      <w:divBdr>
        <w:top w:val="none" w:sz="0" w:space="0" w:color="auto"/>
        <w:left w:val="none" w:sz="0" w:space="0" w:color="auto"/>
        <w:bottom w:val="none" w:sz="0" w:space="0" w:color="auto"/>
        <w:right w:val="none" w:sz="0" w:space="0" w:color="auto"/>
      </w:divBdr>
    </w:div>
    <w:div w:id="1909653770">
      <w:bodyDiv w:val="1"/>
      <w:marLeft w:val="0"/>
      <w:marRight w:val="0"/>
      <w:marTop w:val="0"/>
      <w:marBottom w:val="0"/>
      <w:divBdr>
        <w:top w:val="none" w:sz="0" w:space="0" w:color="auto"/>
        <w:left w:val="none" w:sz="0" w:space="0" w:color="auto"/>
        <w:bottom w:val="none" w:sz="0" w:space="0" w:color="auto"/>
        <w:right w:val="none" w:sz="0" w:space="0" w:color="auto"/>
      </w:divBdr>
    </w:div>
    <w:div w:id="196477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eloitte colors">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soli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F007C73A1A2E4EB1D8D3672D80A9E1" ma:contentTypeVersion="13" ma:contentTypeDescription="Umožňuje vytvoriť nový dokument." ma:contentTypeScope="" ma:versionID="e8dc16e0791cf3118525d89222c64a3c">
  <xsd:schema xmlns:xsd="http://www.w3.org/2001/XMLSchema" xmlns:xs="http://www.w3.org/2001/XMLSchema" xmlns:p="http://schemas.microsoft.com/office/2006/metadata/properties" xmlns:ns2="fe65f091-2953-4868-a664-cc7bbd6afaf3" xmlns:ns3="c7a28d2a-d553-41e1-b0a5-486934d8c752" targetNamespace="http://schemas.microsoft.com/office/2006/metadata/properties" ma:root="true" ma:fieldsID="435495e548435aa37bdff6211c5060a8" ns2:_="" ns3:_="">
    <xsd:import namespace="fe65f091-2953-4868-a664-cc7bbd6afaf3"/>
    <xsd:import namespace="c7a28d2a-d553-41e1-b0a5-486934d8c7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5f091-2953-4868-a664-cc7bbd6af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28d2a-d553-41e1-b0a5-486934d8c752" elementFormDefault="qualified">
    <xsd:import namespace="http://schemas.microsoft.com/office/2006/documentManagement/types"/>
    <xsd:import namespace="http://schemas.microsoft.com/office/infopath/2007/PartnerControls"/>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FBA1-0F67-4FAD-A175-2AB88337E641}"/>
</file>

<file path=customXml/itemProps2.xml><?xml version="1.0" encoding="utf-8"?>
<ds:datastoreItem xmlns:ds="http://schemas.openxmlformats.org/officeDocument/2006/customXml" ds:itemID="{1C81ACF4-7F27-41AD-BC2C-FA8ECEDE89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4A641E-00D8-44E2-91EE-316E3EB5A9DE}">
  <ds:schemaRefs>
    <ds:schemaRef ds:uri="http://schemas.microsoft.com/sharepoint/v3/contenttype/forms"/>
  </ds:schemaRefs>
</ds:datastoreItem>
</file>

<file path=customXml/itemProps4.xml><?xml version="1.0" encoding="utf-8"?>
<ds:datastoreItem xmlns:ds="http://schemas.openxmlformats.org/officeDocument/2006/customXml" ds:itemID="{86D52F07-EFED-481D-9E75-606778E2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Proposal_A4</vt:lpstr>
    </vt:vector>
  </TitlesOfParts>
  <Company>HP</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creator>Andrea Spotakova</dc:creator>
  <cp:lastModifiedBy>Daniel Péter</cp:lastModifiedBy>
  <cp:revision>13</cp:revision>
  <cp:lastPrinted>2017-04-11T08:11:00Z</cp:lastPrinted>
  <dcterms:created xsi:type="dcterms:W3CDTF">2020-02-04T13:42:00Z</dcterms:created>
  <dcterms:modified xsi:type="dcterms:W3CDTF">2021-12-13T15:57:00Z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0x0101001CF007C73A1A2E4EB1D8D3672D80A9E1</vt:lpwstr>
  </property>
</Properties>
</file>